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06C" w:rsidRDefault="00E9306C" w:rsidP="00DB2E08">
      <w:pPr>
        <w:jc w:val="center"/>
        <w:rPr>
          <w:b/>
        </w:rPr>
      </w:pPr>
    </w:p>
    <w:p w:rsidR="00E9306C" w:rsidRDefault="00E9306C" w:rsidP="00DB2E08">
      <w:pPr>
        <w:jc w:val="center"/>
        <w:rPr>
          <w:b/>
        </w:rPr>
      </w:pPr>
    </w:p>
    <w:p w:rsidR="007D1BBD" w:rsidRDefault="007D1BBD" w:rsidP="00DB2E08">
      <w:pPr>
        <w:jc w:val="center"/>
        <w:rPr>
          <w:b/>
        </w:rPr>
      </w:pPr>
    </w:p>
    <w:p w:rsidR="00DB2E08" w:rsidRDefault="00DB2E08" w:rsidP="00DB2E08">
      <w:pPr>
        <w:jc w:val="center"/>
        <w:rPr>
          <w:b/>
        </w:rPr>
      </w:pPr>
      <w:r>
        <w:rPr>
          <w:b/>
        </w:rPr>
        <w:t>Summary of Final Rule</w:t>
      </w:r>
      <w:r w:rsidR="00E9306C">
        <w:rPr>
          <w:b/>
        </w:rPr>
        <w:t>:</w:t>
      </w:r>
    </w:p>
    <w:p w:rsidR="00DB2E08" w:rsidRPr="00DB2E08" w:rsidRDefault="00DB2E08" w:rsidP="00DB2E08">
      <w:pPr>
        <w:jc w:val="center"/>
        <w:rPr>
          <w:b/>
        </w:rPr>
      </w:pPr>
      <w:r w:rsidRPr="00DB2E08">
        <w:rPr>
          <w:b/>
        </w:rPr>
        <w:t>“Medicare Program:</w:t>
      </w:r>
      <w:r>
        <w:rPr>
          <w:b/>
        </w:rPr>
        <w:t xml:space="preserve">  </w:t>
      </w:r>
      <w:r w:rsidRPr="00DB2E08">
        <w:rPr>
          <w:b/>
        </w:rPr>
        <w:t>Changes to the Medicare Claims and Entitlement, Medicare Advantage</w:t>
      </w:r>
      <w:r>
        <w:rPr>
          <w:b/>
        </w:rPr>
        <w:t xml:space="preserve"> </w:t>
      </w:r>
      <w:r w:rsidRPr="00DB2E08">
        <w:rPr>
          <w:b/>
        </w:rPr>
        <w:t>Organization Determination, and Medicare Prescription Drug Coverage</w:t>
      </w:r>
    </w:p>
    <w:p w:rsidR="00DB2E08" w:rsidRDefault="00DB2E08" w:rsidP="00DB2E08">
      <w:pPr>
        <w:jc w:val="center"/>
        <w:rPr>
          <w:b/>
        </w:rPr>
      </w:pPr>
      <w:r w:rsidRPr="00DB2E08">
        <w:rPr>
          <w:b/>
        </w:rPr>
        <w:t>D</w:t>
      </w:r>
      <w:r>
        <w:rPr>
          <w:b/>
        </w:rPr>
        <w:t>etermination Appeals Procedures</w:t>
      </w:r>
      <w:r w:rsidRPr="00DB2E08">
        <w:rPr>
          <w:b/>
        </w:rPr>
        <w:t>”</w:t>
      </w:r>
      <w:r>
        <w:rPr>
          <w:rStyle w:val="FootnoteReference"/>
          <w:b/>
        </w:rPr>
        <w:footnoteReference w:id="-1"/>
      </w:r>
    </w:p>
    <w:p w:rsidR="00DB2E08" w:rsidRDefault="00DB2E08" w:rsidP="000E0EBA">
      <w:pPr>
        <w:rPr>
          <w:b/>
        </w:rPr>
      </w:pPr>
    </w:p>
    <w:p w:rsidR="00A862ED" w:rsidRDefault="00DB2E08" w:rsidP="000E0EBA">
      <w:r>
        <w:rPr>
          <w:b/>
        </w:rPr>
        <w:t>Overview</w:t>
      </w:r>
      <w:r w:rsidR="000E0EBA" w:rsidRPr="00E66D57">
        <w:t>: The final rule provides new and revised rules that expand the pool of available OMHA adjudicators; increase decision-making consistency among the levels of appeal; and improve efficiency by streamlining the appeals process so less time is spent by adjudicators and parties on repetitive issues and procedural matters.</w:t>
      </w:r>
    </w:p>
    <w:p w:rsidR="00A862ED" w:rsidRDefault="00A862ED" w:rsidP="000E0EBA"/>
    <w:p w:rsidR="000E0EBA" w:rsidRPr="00A862ED" w:rsidRDefault="00A862ED" w:rsidP="00A862ED">
      <w:pPr>
        <w:widowControl w:val="0"/>
        <w:autoSpaceDE w:val="0"/>
        <w:autoSpaceDN w:val="0"/>
        <w:adjustRightInd w:val="0"/>
        <w:rPr>
          <w:b/>
        </w:rPr>
      </w:pPr>
      <w:r w:rsidRPr="00A862ED">
        <w:rPr>
          <w:b/>
        </w:rPr>
        <w:t xml:space="preserve">Effective date: </w:t>
      </w:r>
      <w:r w:rsidRPr="00A862ED">
        <w:rPr>
          <w:rFonts w:ascii="Times New Roman" w:hAnsi="Times New Roman" w:cs="Times New Roman"/>
          <w:szCs w:val="18"/>
        </w:rPr>
        <w:t>These regulations are effective on March 20, 2017.</w:t>
      </w:r>
    </w:p>
    <w:p w:rsidR="000E0EBA" w:rsidRPr="00E66D57" w:rsidRDefault="000E0EBA" w:rsidP="000E0EBA"/>
    <w:p w:rsidR="00671B93" w:rsidRDefault="00307147" w:rsidP="003F7110">
      <w:pPr>
        <w:widowControl w:val="0"/>
        <w:autoSpaceDE w:val="0"/>
        <w:autoSpaceDN w:val="0"/>
        <w:adjustRightInd w:val="0"/>
        <w:rPr>
          <w:rFonts w:cs="Times New Roman"/>
          <w:b/>
          <w:szCs w:val="18"/>
          <w:u w:val="single"/>
        </w:rPr>
      </w:pPr>
      <w:r w:rsidRPr="00E66D57">
        <w:rPr>
          <w:rFonts w:cs="Times New Roman"/>
          <w:b/>
          <w:szCs w:val="18"/>
          <w:u w:val="single"/>
        </w:rPr>
        <w:t>Permit designation of Medical Appeals Council decisions as prece</w:t>
      </w:r>
      <w:r w:rsidR="00B13F0D" w:rsidRPr="00E66D57">
        <w:rPr>
          <w:rFonts w:cs="Times New Roman"/>
          <w:b/>
          <w:szCs w:val="18"/>
          <w:u w:val="single"/>
        </w:rPr>
        <w:t>dential</w:t>
      </w:r>
    </w:p>
    <w:p w:rsidR="003F7110" w:rsidRPr="00671B93" w:rsidRDefault="000E0EBA" w:rsidP="003F7110">
      <w:pPr>
        <w:widowControl w:val="0"/>
        <w:autoSpaceDE w:val="0"/>
        <w:autoSpaceDN w:val="0"/>
        <w:adjustRightInd w:val="0"/>
        <w:rPr>
          <w:rFonts w:cs="Times New Roman"/>
          <w:b/>
          <w:szCs w:val="18"/>
          <w:u w:val="single"/>
        </w:rPr>
      </w:pPr>
      <w:r w:rsidRPr="00E66D57">
        <w:rPr>
          <w:rFonts w:cs="Times New Roman"/>
          <w:szCs w:val="18"/>
        </w:rPr>
        <w:t xml:space="preserve">The </w:t>
      </w:r>
      <w:r w:rsidR="00307147" w:rsidRPr="00E66D57">
        <w:rPr>
          <w:rFonts w:cs="Times New Roman"/>
          <w:szCs w:val="18"/>
        </w:rPr>
        <w:t xml:space="preserve">final rule deems that the </w:t>
      </w:r>
      <w:r w:rsidRPr="00E66D57">
        <w:rPr>
          <w:rFonts w:cs="Times New Roman"/>
          <w:szCs w:val="18"/>
        </w:rPr>
        <w:t xml:space="preserve">Chair of the Departmental Appeals Board </w:t>
      </w:r>
      <w:r w:rsidR="00307147" w:rsidRPr="00E66D57">
        <w:rPr>
          <w:rFonts w:cs="Times New Roman"/>
          <w:szCs w:val="18"/>
        </w:rPr>
        <w:t>has the</w:t>
      </w:r>
      <w:r w:rsidRPr="00E66D57">
        <w:rPr>
          <w:rFonts w:cs="Times New Roman"/>
          <w:szCs w:val="18"/>
        </w:rPr>
        <w:t xml:space="preserve"> authority to designate a final decision of the Secretary issued by the Medicare Appeals Council as precedential. In determining which decisions should be designated as precedential, the DAB Chair may take into consideration decisions that address, resolve, or clarify recurring legal issues, rules or policies, or that may have broad application or impact, or involve issues of public interest. To the extent that appellants</w:t>
      </w:r>
      <w:r w:rsidR="00307147" w:rsidRPr="00E66D57">
        <w:rPr>
          <w:rFonts w:cs="Times New Roman"/>
          <w:szCs w:val="18"/>
        </w:rPr>
        <w:t>,</w:t>
      </w:r>
      <w:r w:rsidR="00056EFF">
        <w:rPr>
          <w:rFonts w:cs="Times New Roman"/>
          <w:szCs w:val="18"/>
        </w:rPr>
        <w:t xml:space="preserve"> </w:t>
      </w:r>
      <w:r w:rsidRPr="00E66D57">
        <w:rPr>
          <w:rFonts w:cs="Times New Roman"/>
          <w:szCs w:val="18"/>
        </w:rPr>
        <w:t xml:space="preserve">CMS or its contractors believe that a case may result in a decision that should be considered precedential, then the parties are free to argue so in their appeal requests or motion referrals. </w:t>
      </w:r>
      <w:r w:rsidR="00B13F0D" w:rsidRPr="00E66D57">
        <w:rPr>
          <w:rFonts w:cs="Times New Roman"/>
          <w:szCs w:val="18"/>
        </w:rPr>
        <w:t>Publication of the designation of a decision as precedential will be published in the Federal Register around the same time as a precedential decision is identified on the HHS Web site in order to provide public notice</w:t>
      </w:r>
      <w:r w:rsidR="00D74622">
        <w:rPr>
          <w:rFonts w:cs="Times New Roman"/>
          <w:szCs w:val="18"/>
        </w:rPr>
        <w:t>. O</w:t>
      </w:r>
      <w:r w:rsidR="00737DC7" w:rsidRPr="00E66D57">
        <w:t>pinions will be made public once all confidential information is redacted</w:t>
      </w:r>
      <w:r w:rsidR="00B13F0D" w:rsidRPr="00E66D57">
        <w:rPr>
          <w:rFonts w:cs="Times New Roman"/>
          <w:szCs w:val="18"/>
        </w:rPr>
        <w:t>.</w:t>
      </w:r>
      <w:r w:rsidR="003F7110" w:rsidRPr="00E66D57">
        <w:rPr>
          <w:rFonts w:cs="Times New Roman"/>
          <w:szCs w:val="18"/>
        </w:rPr>
        <w:t xml:space="preserve"> The precedential decisions will apply to all Medicare parts and Part C and D plans will be required to determine the applicability of precedential decisions </w:t>
      </w:r>
      <w:r w:rsidR="00D74622">
        <w:rPr>
          <w:rFonts w:cs="Times New Roman"/>
          <w:szCs w:val="18"/>
        </w:rPr>
        <w:t xml:space="preserve">when adjudicating future cases at the firs level of appeal. </w:t>
      </w:r>
    </w:p>
    <w:p w:rsidR="003F7110" w:rsidRPr="00E66D57" w:rsidRDefault="003F7110" w:rsidP="003F7110">
      <w:pPr>
        <w:widowControl w:val="0"/>
        <w:autoSpaceDE w:val="0"/>
        <w:autoSpaceDN w:val="0"/>
        <w:adjustRightInd w:val="0"/>
        <w:rPr>
          <w:rFonts w:cs="Times New Roman"/>
          <w:szCs w:val="18"/>
        </w:rPr>
      </w:pPr>
    </w:p>
    <w:p w:rsidR="003F7110" w:rsidRPr="00E66D57" w:rsidRDefault="007D2BD1" w:rsidP="003F7110">
      <w:pPr>
        <w:widowControl w:val="0"/>
        <w:autoSpaceDE w:val="0"/>
        <w:autoSpaceDN w:val="0"/>
        <w:adjustRightInd w:val="0"/>
        <w:rPr>
          <w:rFonts w:cs="Times New Roman"/>
          <w:szCs w:val="18"/>
        </w:rPr>
      </w:pPr>
      <w:r w:rsidRPr="00056EFF">
        <w:rPr>
          <w:rFonts w:cs="Times New Roman"/>
          <w:b/>
          <w:szCs w:val="18"/>
        </w:rPr>
        <w:t>Impa</w:t>
      </w:r>
      <w:r w:rsidRPr="003235C6">
        <w:rPr>
          <w:rFonts w:cs="Times New Roman"/>
          <w:b/>
          <w:szCs w:val="18"/>
        </w:rPr>
        <w:t>ct</w:t>
      </w:r>
      <w:r w:rsidRPr="00056EFF">
        <w:rPr>
          <w:rFonts w:cs="Times New Roman"/>
          <w:b/>
          <w:i/>
          <w:szCs w:val="18"/>
        </w:rPr>
        <w:t>:</w:t>
      </w:r>
      <w:r w:rsidRPr="00E66D57">
        <w:rPr>
          <w:rFonts w:cs="Times New Roman"/>
          <w:szCs w:val="18"/>
        </w:rPr>
        <w:t xml:space="preserve"> </w:t>
      </w:r>
      <w:r w:rsidR="003F7110" w:rsidRPr="00E66D57">
        <w:rPr>
          <w:rFonts w:cs="Times New Roman"/>
          <w:szCs w:val="18"/>
        </w:rPr>
        <w:t xml:space="preserve">HHS acknowledges that it will take time to establish a body of precedential decisions addressing enough issues to meaningfully impact the backlog. Nevertheless, HHS believes that establishing precedential decisions will allow for more predictable and consistent outcomes at all levels of administrative review.  </w:t>
      </w:r>
    </w:p>
    <w:p w:rsidR="003F7110" w:rsidRPr="00D74622" w:rsidRDefault="003F7110" w:rsidP="003F7110">
      <w:pPr>
        <w:widowControl w:val="0"/>
        <w:autoSpaceDE w:val="0"/>
        <w:autoSpaceDN w:val="0"/>
        <w:adjustRightInd w:val="0"/>
        <w:rPr>
          <w:rFonts w:cs="Times New Roman"/>
          <w:szCs w:val="18"/>
        </w:rPr>
      </w:pPr>
    </w:p>
    <w:p w:rsidR="002C1687" w:rsidRPr="00D74622" w:rsidRDefault="00307147" w:rsidP="00307147">
      <w:pPr>
        <w:widowControl w:val="0"/>
        <w:autoSpaceDE w:val="0"/>
        <w:autoSpaceDN w:val="0"/>
        <w:adjustRightInd w:val="0"/>
        <w:rPr>
          <w:rFonts w:cs="Times New Roman"/>
          <w:b/>
          <w:szCs w:val="18"/>
          <w:u w:val="single"/>
        </w:rPr>
      </w:pPr>
      <w:r w:rsidRPr="00D74622">
        <w:rPr>
          <w:rFonts w:cs="Times New Roman"/>
          <w:b/>
          <w:szCs w:val="18"/>
          <w:u w:val="single"/>
        </w:rPr>
        <w:t>Expand OMHA’s available adjudicator pool</w:t>
      </w:r>
    </w:p>
    <w:p w:rsidR="00307147" w:rsidRPr="00D74622" w:rsidRDefault="00D74622" w:rsidP="00D74622">
      <w:pPr>
        <w:widowControl w:val="0"/>
        <w:autoSpaceDE w:val="0"/>
        <w:autoSpaceDN w:val="0"/>
        <w:adjustRightInd w:val="0"/>
        <w:rPr>
          <w:rFonts w:cs="Times New Roman"/>
          <w:szCs w:val="18"/>
        </w:rPr>
      </w:pPr>
      <w:r w:rsidRPr="00D74622">
        <w:rPr>
          <w:rFonts w:cs="Times New Roman"/>
          <w:szCs w:val="22"/>
        </w:rPr>
        <w:t>Citing a significant strain on ALJ workloads with respect to matters not requiring a hearing,</w:t>
      </w:r>
      <w:r w:rsidRPr="00D74622">
        <w:rPr>
          <w:rFonts w:cs="Times New Roman"/>
          <w:szCs w:val="18"/>
        </w:rPr>
        <w:t xml:space="preserve"> t</w:t>
      </w:r>
      <w:r w:rsidR="005B3B38" w:rsidRPr="00D74622">
        <w:rPr>
          <w:rFonts w:cs="Times New Roman"/>
          <w:szCs w:val="18"/>
        </w:rPr>
        <w:t xml:space="preserve">he final rule </w:t>
      </w:r>
      <w:r w:rsidR="003F7110" w:rsidRPr="00D74622">
        <w:rPr>
          <w:rFonts w:cs="Times New Roman"/>
          <w:szCs w:val="18"/>
        </w:rPr>
        <w:t>provide</w:t>
      </w:r>
      <w:r w:rsidR="005B3B38" w:rsidRPr="00D74622">
        <w:rPr>
          <w:rFonts w:cs="Times New Roman"/>
          <w:szCs w:val="18"/>
        </w:rPr>
        <w:t>s</w:t>
      </w:r>
      <w:r w:rsidR="003F7110" w:rsidRPr="00D74622">
        <w:rPr>
          <w:rFonts w:cs="Times New Roman"/>
          <w:szCs w:val="18"/>
        </w:rPr>
        <w:t xml:space="preserve"> authority for attorney adjudicators to</w:t>
      </w:r>
      <w:r w:rsidR="00307147" w:rsidRPr="00D74622">
        <w:rPr>
          <w:rFonts w:cs="Times New Roman"/>
          <w:szCs w:val="18"/>
        </w:rPr>
        <w:t xml:space="preserve"> issue: </w:t>
      </w:r>
    </w:p>
    <w:p w:rsidR="00307147" w:rsidRPr="00D74622" w:rsidRDefault="00307147" w:rsidP="00307147">
      <w:pPr>
        <w:widowControl w:val="0"/>
        <w:autoSpaceDE w:val="0"/>
        <w:autoSpaceDN w:val="0"/>
        <w:adjustRightInd w:val="0"/>
        <w:rPr>
          <w:rFonts w:cs="Times New Roman"/>
          <w:szCs w:val="18"/>
        </w:rPr>
      </w:pPr>
      <w:r w:rsidRPr="00D74622">
        <w:rPr>
          <w:rFonts w:cs="Times New Roman"/>
          <w:szCs w:val="18"/>
        </w:rPr>
        <w:t xml:space="preserve">(1) Decisions that can be issued without an ALJ conducting a hearing; </w:t>
      </w:r>
    </w:p>
    <w:p w:rsidR="00307147" w:rsidRPr="00E66D57" w:rsidRDefault="00307147" w:rsidP="00307147">
      <w:pPr>
        <w:widowControl w:val="0"/>
        <w:autoSpaceDE w:val="0"/>
        <w:autoSpaceDN w:val="0"/>
        <w:adjustRightInd w:val="0"/>
        <w:rPr>
          <w:rFonts w:cs="Times New Roman"/>
          <w:szCs w:val="18"/>
        </w:rPr>
      </w:pPr>
      <w:r w:rsidRPr="00D74622">
        <w:rPr>
          <w:rFonts w:cs="Times New Roman"/>
          <w:szCs w:val="18"/>
        </w:rPr>
        <w:t>(2) Dismissals when an appellant withdraws his or her request for</w:t>
      </w:r>
      <w:r w:rsidRPr="00E66D57">
        <w:rPr>
          <w:rFonts w:cs="Times New Roman"/>
          <w:szCs w:val="18"/>
        </w:rPr>
        <w:t xml:space="preserve"> an ALJ; </w:t>
      </w:r>
    </w:p>
    <w:p w:rsidR="00307147" w:rsidRPr="00E66D57" w:rsidRDefault="00307147" w:rsidP="00307147">
      <w:pPr>
        <w:widowControl w:val="0"/>
        <w:autoSpaceDE w:val="0"/>
        <w:autoSpaceDN w:val="0"/>
        <w:adjustRightInd w:val="0"/>
        <w:rPr>
          <w:rFonts w:cs="Times New Roman"/>
          <w:szCs w:val="18"/>
        </w:rPr>
      </w:pPr>
      <w:r w:rsidRPr="00E66D57">
        <w:rPr>
          <w:rFonts w:cs="Times New Roman"/>
          <w:szCs w:val="18"/>
        </w:rPr>
        <w:t xml:space="preserve">(3) Remands to the QIC, IRE, or other contractor, or the Part D plan sponsor; and </w:t>
      </w:r>
    </w:p>
    <w:p w:rsidR="00307147" w:rsidRPr="00E66D57" w:rsidRDefault="00307147" w:rsidP="00307147">
      <w:pPr>
        <w:widowControl w:val="0"/>
        <w:autoSpaceDE w:val="0"/>
        <w:autoSpaceDN w:val="0"/>
        <w:adjustRightInd w:val="0"/>
        <w:rPr>
          <w:rFonts w:cs="Times New Roman"/>
          <w:szCs w:val="18"/>
        </w:rPr>
      </w:pPr>
      <w:r w:rsidRPr="00E66D57">
        <w:rPr>
          <w:rFonts w:cs="Times New Roman"/>
          <w:szCs w:val="18"/>
        </w:rPr>
        <w:t>(4) Reviews of QIC and IRE dismissals.</w:t>
      </w:r>
    </w:p>
    <w:p w:rsidR="00307147" w:rsidRPr="00E66D57" w:rsidRDefault="00307147" w:rsidP="00F41E9F">
      <w:pPr>
        <w:widowControl w:val="0"/>
        <w:autoSpaceDE w:val="0"/>
        <w:autoSpaceDN w:val="0"/>
        <w:adjustRightInd w:val="0"/>
        <w:rPr>
          <w:rFonts w:cs="Times New Roman"/>
          <w:szCs w:val="18"/>
        </w:rPr>
      </w:pPr>
    </w:p>
    <w:p w:rsidR="007D2BD1" w:rsidRPr="00E66D57" w:rsidRDefault="00307147" w:rsidP="00F41E9F">
      <w:pPr>
        <w:widowControl w:val="0"/>
        <w:autoSpaceDE w:val="0"/>
        <w:autoSpaceDN w:val="0"/>
        <w:adjustRightInd w:val="0"/>
        <w:rPr>
          <w:rFonts w:cs="Times New Roman"/>
          <w:szCs w:val="18"/>
        </w:rPr>
      </w:pPr>
      <w:r w:rsidRPr="00E66D57">
        <w:rPr>
          <w:rFonts w:cs="Times New Roman"/>
          <w:szCs w:val="18"/>
        </w:rPr>
        <w:t>A</w:t>
      </w:r>
      <w:r w:rsidR="00F41E9F" w:rsidRPr="00E66D57">
        <w:rPr>
          <w:rFonts w:cs="Times New Roman"/>
          <w:szCs w:val="18"/>
        </w:rPr>
        <w:t xml:space="preserve">ttorney adjudicators would receive the same training as OMHA ALJs, which would focus on substantive areas of Medicare coverage and payment policy, as well as administrative procedures. </w:t>
      </w:r>
    </w:p>
    <w:p w:rsidR="007D2BD1" w:rsidRPr="00E66D57" w:rsidRDefault="007D2BD1" w:rsidP="00F41E9F">
      <w:pPr>
        <w:widowControl w:val="0"/>
        <w:autoSpaceDE w:val="0"/>
        <w:autoSpaceDN w:val="0"/>
        <w:adjustRightInd w:val="0"/>
        <w:rPr>
          <w:rFonts w:cs="Times New Roman"/>
          <w:szCs w:val="18"/>
        </w:rPr>
      </w:pPr>
    </w:p>
    <w:p w:rsidR="007D2BD1" w:rsidRPr="00E66D57" w:rsidRDefault="007D2BD1" w:rsidP="00F41E9F">
      <w:pPr>
        <w:widowControl w:val="0"/>
        <w:autoSpaceDE w:val="0"/>
        <w:autoSpaceDN w:val="0"/>
        <w:adjustRightInd w:val="0"/>
        <w:rPr>
          <w:rFonts w:cs="Times New Roman"/>
          <w:szCs w:val="18"/>
        </w:rPr>
      </w:pPr>
      <w:r w:rsidRPr="00E66D57">
        <w:rPr>
          <w:rFonts w:cs="Times New Roman"/>
          <w:b/>
          <w:szCs w:val="18"/>
        </w:rPr>
        <w:t>Impact:</w:t>
      </w:r>
      <w:r w:rsidRPr="00E66D57">
        <w:rPr>
          <w:rFonts w:cs="Times New Roman"/>
          <w:szCs w:val="18"/>
        </w:rPr>
        <w:t xml:space="preserve"> </w:t>
      </w:r>
      <w:r w:rsidR="002C1687" w:rsidRPr="00E66D57">
        <w:rPr>
          <w:rFonts w:cs="Times New Roman"/>
          <w:szCs w:val="18"/>
        </w:rPr>
        <w:t>The final rule says</w:t>
      </w:r>
      <w:r w:rsidRPr="00E66D57">
        <w:rPr>
          <w:rFonts w:cs="Times New Roman"/>
          <w:szCs w:val="18"/>
        </w:rPr>
        <w:t xml:space="preserve"> a</w:t>
      </w:r>
      <w:r w:rsidR="00F41E9F" w:rsidRPr="00E66D57">
        <w:rPr>
          <w:rFonts w:cs="Times New Roman"/>
          <w:szCs w:val="18"/>
        </w:rPr>
        <w:t>ttorney adjudicators would</w:t>
      </w:r>
      <w:r w:rsidRPr="00E66D57">
        <w:rPr>
          <w:rFonts w:cs="Times New Roman"/>
          <w:szCs w:val="18"/>
        </w:rPr>
        <w:t xml:space="preserve"> </w:t>
      </w:r>
    </w:p>
    <w:p w:rsidR="007D2BD1" w:rsidRPr="00E66D57" w:rsidRDefault="007D2BD1" w:rsidP="00F41E9F">
      <w:pPr>
        <w:pStyle w:val="ListParagraph"/>
        <w:widowControl w:val="0"/>
        <w:numPr>
          <w:ilvl w:val="0"/>
          <w:numId w:val="2"/>
        </w:numPr>
        <w:autoSpaceDE w:val="0"/>
        <w:autoSpaceDN w:val="0"/>
        <w:adjustRightInd w:val="0"/>
        <w:rPr>
          <w:rFonts w:cs="Times New Roman"/>
          <w:szCs w:val="18"/>
        </w:rPr>
      </w:pPr>
      <w:r w:rsidRPr="00E66D57">
        <w:rPr>
          <w:rFonts w:cs="Times New Roman"/>
          <w:szCs w:val="18"/>
        </w:rPr>
        <w:t>A</w:t>
      </w:r>
      <w:r w:rsidR="00F41E9F" w:rsidRPr="00E66D57">
        <w:rPr>
          <w:rFonts w:cs="Times New Roman"/>
          <w:szCs w:val="18"/>
        </w:rPr>
        <w:t>llow OMHA to identify and adjudicate</w:t>
      </w:r>
      <w:r w:rsidRPr="00E66D57">
        <w:rPr>
          <w:rFonts w:cs="Times New Roman"/>
          <w:szCs w:val="18"/>
        </w:rPr>
        <w:t xml:space="preserve"> </w:t>
      </w:r>
      <w:r w:rsidR="00F41E9F" w:rsidRPr="00E66D57">
        <w:rPr>
          <w:rFonts w:cs="Times New Roman"/>
          <w:szCs w:val="18"/>
        </w:rPr>
        <w:t>appeals that do not require a hearing as</w:t>
      </w:r>
      <w:r w:rsidRPr="00E66D57">
        <w:rPr>
          <w:rFonts w:cs="Times New Roman"/>
          <w:szCs w:val="18"/>
        </w:rPr>
        <w:t xml:space="preserve"> </w:t>
      </w:r>
      <w:r w:rsidR="00F41E9F" w:rsidRPr="00E66D57">
        <w:rPr>
          <w:rFonts w:cs="Times New Roman"/>
          <w:szCs w:val="18"/>
        </w:rPr>
        <w:t>early in the administrative process as</w:t>
      </w:r>
      <w:r w:rsidRPr="00E66D57">
        <w:rPr>
          <w:rFonts w:cs="Times New Roman"/>
          <w:szCs w:val="18"/>
        </w:rPr>
        <w:t xml:space="preserve"> </w:t>
      </w:r>
      <w:r w:rsidR="00F41E9F" w:rsidRPr="00E66D57">
        <w:rPr>
          <w:rFonts w:cs="Times New Roman"/>
          <w:szCs w:val="18"/>
        </w:rPr>
        <w:t xml:space="preserve">possible. </w:t>
      </w:r>
    </w:p>
    <w:p w:rsidR="007D2BD1" w:rsidRPr="00E66D57" w:rsidRDefault="007D2BD1" w:rsidP="00F41E9F">
      <w:pPr>
        <w:pStyle w:val="ListParagraph"/>
        <w:widowControl w:val="0"/>
        <w:numPr>
          <w:ilvl w:val="0"/>
          <w:numId w:val="2"/>
        </w:numPr>
        <w:autoSpaceDE w:val="0"/>
        <w:autoSpaceDN w:val="0"/>
        <w:adjustRightInd w:val="0"/>
        <w:rPr>
          <w:rFonts w:cs="Times New Roman"/>
          <w:szCs w:val="18"/>
        </w:rPr>
      </w:pPr>
      <w:r w:rsidRPr="00E66D57">
        <w:rPr>
          <w:rFonts w:cs="Times New Roman"/>
          <w:szCs w:val="18"/>
        </w:rPr>
        <w:t>R</w:t>
      </w:r>
      <w:r w:rsidR="00F41E9F" w:rsidRPr="00E66D57">
        <w:rPr>
          <w:rFonts w:cs="Times New Roman"/>
          <w:szCs w:val="18"/>
        </w:rPr>
        <w:t>educe the wait time for</w:t>
      </w:r>
      <w:r w:rsidRPr="00E66D57">
        <w:rPr>
          <w:rFonts w:cs="Times New Roman"/>
          <w:szCs w:val="18"/>
        </w:rPr>
        <w:t xml:space="preserve"> a</w:t>
      </w:r>
      <w:r w:rsidR="00F41E9F" w:rsidRPr="00E66D57">
        <w:rPr>
          <w:rFonts w:cs="Times New Roman"/>
          <w:szCs w:val="18"/>
        </w:rPr>
        <w:t>ppellants to receive decisions in cases</w:t>
      </w:r>
      <w:r w:rsidRPr="00E66D57">
        <w:rPr>
          <w:rFonts w:cs="Times New Roman"/>
          <w:szCs w:val="18"/>
        </w:rPr>
        <w:t xml:space="preserve"> </w:t>
      </w:r>
      <w:r w:rsidR="00F41E9F" w:rsidRPr="00E66D57">
        <w:rPr>
          <w:rFonts w:cs="Times New Roman"/>
          <w:szCs w:val="18"/>
        </w:rPr>
        <w:t>in which no hearing is required or</w:t>
      </w:r>
      <w:r w:rsidRPr="00E66D57">
        <w:rPr>
          <w:rFonts w:cs="Times New Roman"/>
          <w:szCs w:val="18"/>
        </w:rPr>
        <w:t xml:space="preserve"> </w:t>
      </w:r>
      <w:r w:rsidR="00F41E9F" w:rsidRPr="00E66D57">
        <w:rPr>
          <w:rFonts w:cs="Times New Roman"/>
          <w:szCs w:val="18"/>
        </w:rPr>
        <w:t xml:space="preserve">conducted. </w:t>
      </w:r>
    </w:p>
    <w:p w:rsidR="007D2BD1" w:rsidRPr="00E66D57" w:rsidRDefault="007D2BD1" w:rsidP="00F41E9F">
      <w:pPr>
        <w:pStyle w:val="ListParagraph"/>
        <w:widowControl w:val="0"/>
        <w:numPr>
          <w:ilvl w:val="0"/>
          <w:numId w:val="2"/>
        </w:numPr>
        <w:autoSpaceDE w:val="0"/>
        <w:autoSpaceDN w:val="0"/>
        <w:adjustRightInd w:val="0"/>
        <w:rPr>
          <w:rFonts w:cs="Times New Roman"/>
          <w:szCs w:val="18"/>
        </w:rPr>
      </w:pPr>
      <w:r w:rsidRPr="00E66D57">
        <w:rPr>
          <w:rFonts w:cs="Times New Roman"/>
          <w:szCs w:val="18"/>
        </w:rPr>
        <w:t>H</w:t>
      </w:r>
      <w:r w:rsidR="00F41E9F" w:rsidRPr="00E66D57">
        <w:rPr>
          <w:rFonts w:cs="Times New Roman"/>
          <w:szCs w:val="18"/>
        </w:rPr>
        <w:t>elp to address</w:t>
      </w:r>
      <w:r w:rsidRPr="00E66D57">
        <w:rPr>
          <w:rFonts w:cs="Times New Roman"/>
          <w:szCs w:val="18"/>
        </w:rPr>
        <w:t xml:space="preserve"> </w:t>
      </w:r>
      <w:r w:rsidR="00F41E9F" w:rsidRPr="00E66D57">
        <w:rPr>
          <w:rFonts w:cs="Times New Roman"/>
          <w:szCs w:val="18"/>
        </w:rPr>
        <w:t>the volume of appeals OMHA continues</w:t>
      </w:r>
      <w:r w:rsidRPr="00E66D57">
        <w:rPr>
          <w:rFonts w:cs="Times New Roman"/>
          <w:szCs w:val="18"/>
        </w:rPr>
        <w:t xml:space="preserve"> </w:t>
      </w:r>
      <w:r w:rsidR="00F41E9F" w:rsidRPr="00E66D57">
        <w:rPr>
          <w:rFonts w:cs="Times New Roman"/>
          <w:szCs w:val="18"/>
        </w:rPr>
        <w:t>to receive by channeling some of those</w:t>
      </w:r>
      <w:r w:rsidRPr="00E66D57">
        <w:rPr>
          <w:rFonts w:cs="Times New Roman"/>
          <w:szCs w:val="18"/>
        </w:rPr>
        <w:t xml:space="preserve"> </w:t>
      </w:r>
      <w:r w:rsidR="00F41E9F" w:rsidRPr="00E66D57">
        <w:rPr>
          <w:rFonts w:cs="Times New Roman"/>
          <w:szCs w:val="18"/>
        </w:rPr>
        <w:t>appeals through a less costly</w:t>
      </w:r>
      <w:r w:rsidRPr="00E66D57">
        <w:rPr>
          <w:rFonts w:cs="Times New Roman"/>
          <w:szCs w:val="18"/>
        </w:rPr>
        <w:t xml:space="preserve"> </w:t>
      </w:r>
      <w:r w:rsidR="00F41E9F" w:rsidRPr="00E66D57">
        <w:rPr>
          <w:rFonts w:cs="Times New Roman"/>
          <w:szCs w:val="18"/>
        </w:rPr>
        <w:t>adjudicator, which will allow OMHA to</w:t>
      </w:r>
      <w:r w:rsidRPr="00E66D57">
        <w:rPr>
          <w:rFonts w:cs="Times New Roman"/>
          <w:szCs w:val="18"/>
        </w:rPr>
        <w:t xml:space="preserve"> </w:t>
      </w:r>
      <w:r w:rsidR="00F41E9F" w:rsidRPr="00E66D57">
        <w:rPr>
          <w:rFonts w:cs="Times New Roman"/>
          <w:szCs w:val="18"/>
        </w:rPr>
        <w:t>hire more adjudicators than the same</w:t>
      </w:r>
      <w:r w:rsidRPr="00E66D57">
        <w:rPr>
          <w:rFonts w:cs="Times New Roman"/>
          <w:szCs w:val="18"/>
        </w:rPr>
        <w:t xml:space="preserve"> </w:t>
      </w:r>
      <w:r w:rsidR="00F41E9F" w:rsidRPr="00E66D57">
        <w:rPr>
          <w:rFonts w:cs="Times New Roman"/>
          <w:szCs w:val="18"/>
        </w:rPr>
        <w:t>resources would allow if allocated to</w:t>
      </w:r>
      <w:r w:rsidRPr="00E66D57">
        <w:rPr>
          <w:rFonts w:cs="Times New Roman"/>
          <w:szCs w:val="18"/>
        </w:rPr>
        <w:t xml:space="preserve"> hiring ALJs and support staff. </w:t>
      </w:r>
    </w:p>
    <w:p w:rsidR="005343DB" w:rsidRPr="00E66D57" w:rsidRDefault="007D2BD1" w:rsidP="00F41E9F">
      <w:pPr>
        <w:pStyle w:val="ListParagraph"/>
        <w:widowControl w:val="0"/>
        <w:numPr>
          <w:ilvl w:val="0"/>
          <w:numId w:val="2"/>
        </w:numPr>
        <w:autoSpaceDE w:val="0"/>
        <w:autoSpaceDN w:val="0"/>
        <w:adjustRightInd w:val="0"/>
        <w:rPr>
          <w:rFonts w:cs="Times New Roman"/>
          <w:szCs w:val="18"/>
        </w:rPr>
      </w:pPr>
      <w:r w:rsidRPr="00E66D57">
        <w:rPr>
          <w:rFonts w:cs="Times New Roman"/>
          <w:szCs w:val="18"/>
        </w:rPr>
        <w:t>T</w:t>
      </w:r>
      <w:r w:rsidR="00F41E9F" w:rsidRPr="00E66D57">
        <w:rPr>
          <w:rFonts w:cs="Times New Roman"/>
          <w:szCs w:val="18"/>
        </w:rPr>
        <w:t>he proposal to</w:t>
      </w:r>
      <w:r w:rsidRPr="00E66D57">
        <w:rPr>
          <w:rFonts w:cs="Times New Roman"/>
          <w:szCs w:val="18"/>
        </w:rPr>
        <w:t xml:space="preserve"> </w:t>
      </w:r>
      <w:r w:rsidR="00F41E9F" w:rsidRPr="00E66D57">
        <w:rPr>
          <w:rFonts w:cs="Times New Roman"/>
          <w:szCs w:val="18"/>
        </w:rPr>
        <w:t>expand the pool of adjudicators could redirect approximately</w:t>
      </w:r>
      <w:r w:rsidRPr="00E66D57">
        <w:rPr>
          <w:rFonts w:cs="Times New Roman"/>
          <w:szCs w:val="18"/>
        </w:rPr>
        <w:t xml:space="preserve"> 24,500 appeals per year </w:t>
      </w:r>
      <w:r w:rsidR="00F41E9F" w:rsidRPr="00E66D57">
        <w:rPr>
          <w:rFonts w:cs="Times New Roman"/>
          <w:szCs w:val="18"/>
        </w:rPr>
        <w:t>to attorney</w:t>
      </w:r>
      <w:r w:rsidRPr="00E66D57">
        <w:rPr>
          <w:rFonts w:cs="Times New Roman"/>
          <w:szCs w:val="18"/>
        </w:rPr>
        <w:t xml:space="preserve"> </w:t>
      </w:r>
      <w:r w:rsidR="00F41E9F" w:rsidRPr="00E66D57">
        <w:rPr>
          <w:rFonts w:cs="Times New Roman"/>
          <w:szCs w:val="18"/>
        </w:rPr>
        <w:t>adjudicators</w:t>
      </w:r>
      <w:r w:rsidRPr="00E66D57">
        <w:rPr>
          <w:rFonts w:cs="Times New Roman"/>
          <w:szCs w:val="18"/>
        </w:rPr>
        <w:t xml:space="preserve"> based on </w:t>
      </w:r>
      <w:r w:rsidR="00F41E9F" w:rsidRPr="00E66D57">
        <w:rPr>
          <w:rFonts w:cs="Times New Roman"/>
          <w:szCs w:val="18"/>
        </w:rPr>
        <w:t>FY 2016 data</w:t>
      </w:r>
      <w:r w:rsidRPr="00E66D57">
        <w:rPr>
          <w:rFonts w:cs="Times New Roman"/>
          <w:szCs w:val="18"/>
        </w:rPr>
        <w:t xml:space="preserve">.  </w:t>
      </w:r>
    </w:p>
    <w:p w:rsidR="00056EFF" w:rsidRDefault="00056EFF" w:rsidP="005343DB">
      <w:pPr>
        <w:widowControl w:val="0"/>
        <w:autoSpaceDE w:val="0"/>
        <w:autoSpaceDN w:val="0"/>
        <w:adjustRightInd w:val="0"/>
        <w:rPr>
          <w:rFonts w:cs="Times New Roman"/>
          <w:szCs w:val="18"/>
        </w:rPr>
      </w:pPr>
    </w:p>
    <w:p w:rsidR="00056EFF" w:rsidRDefault="00056EFF" w:rsidP="005343DB">
      <w:pPr>
        <w:widowControl w:val="0"/>
        <w:autoSpaceDE w:val="0"/>
        <w:autoSpaceDN w:val="0"/>
        <w:adjustRightInd w:val="0"/>
        <w:rPr>
          <w:rFonts w:cs="Times New Roman"/>
          <w:szCs w:val="18"/>
        </w:rPr>
      </w:pPr>
      <w:r>
        <w:rPr>
          <w:rFonts w:cs="Times New Roman"/>
          <w:szCs w:val="18"/>
        </w:rPr>
        <w:t xml:space="preserve">Note: This may be in lieu of congressional authority for “magistrates” in the FY17 budget request and the AFIRM bill.  </w:t>
      </w:r>
    </w:p>
    <w:p w:rsidR="00DC43BA" w:rsidRPr="00E66D57" w:rsidRDefault="00DC43BA" w:rsidP="005343DB">
      <w:pPr>
        <w:widowControl w:val="0"/>
        <w:autoSpaceDE w:val="0"/>
        <w:autoSpaceDN w:val="0"/>
        <w:adjustRightInd w:val="0"/>
        <w:rPr>
          <w:rFonts w:cs="Times New Roman"/>
          <w:szCs w:val="18"/>
        </w:rPr>
      </w:pPr>
    </w:p>
    <w:p w:rsidR="002C1687" w:rsidRPr="00E66D57" w:rsidRDefault="00307147" w:rsidP="00D84CC8">
      <w:pPr>
        <w:widowControl w:val="0"/>
        <w:autoSpaceDE w:val="0"/>
        <w:autoSpaceDN w:val="0"/>
        <w:adjustRightInd w:val="0"/>
        <w:rPr>
          <w:rFonts w:cs="Times New Roman"/>
          <w:b/>
          <w:szCs w:val="18"/>
          <w:u w:val="single"/>
        </w:rPr>
      </w:pPr>
      <w:r w:rsidRPr="00E66D57">
        <w:rPr>
          <w:rFonts w:cs="Times New Roman"/>
          <w:b/>
          <w:szCs w:val="18"/>
          <w:u w:val="single"/>
        </w:rPr>
        <w:t xml:space="preserve">Simplify proceedings when CMS </w:t>
      </w:r>
      <w:r w:rsidR="002C1687" w:rsidRPr="00E66D57">
        <w:rPr>
          <w:rFonts w:cs="Times New Roman"/>
          <w:b/>
          <w:szCs w:val="18"/>
          <w:u w:val="single"/>
        </w:rPr>
        <w:t>or its contractors are involved</w:t>
      </w:r>
    </w:p>
    <w:p w:rsidR="00106AE2" w:rsidRPr="00E66D57" w:rsidRDefault="00307147" w:rsidP="00D84CC8">
      <w:pPr>
        <w:widowControl w:val="0"/>
        <w:autoSpaceDE w:val="0"/>
        <w:autoSpaceDN w:val="0"/>
        <w:adjustRightInd w:val="0"/>
        <w:rPr>
          <w:rFonts w:cs="Times New Roman"/>
          <w:szCs w:val="18"/>
        </w:rPr>
      </w:pPr>
      <w:r w:rsidRPr="00E66D57">
        <w:rPr>
          <w:rFonts w:cs="Times New Roman"/>
          <w:szCs w:val="18"/>
        </w:rPr>
        <w:t xml:space="preserve">The final rule limits the number of entities (CMS or its contractors) that can be a participant or party at the hearing. However, additional entities may submit position papers and/or written testimony or serve as witnesses.  </w:t>
      </w:r>
    </w:p>
    <w:p w:rsidR="00307147" w:rsidRPr="00E66D57" w:rsidRDefault="00307147" w:rsidP="00106AE2">
      <w:pPr>
        <w:widowControl w:val="0"/>
        <w:autoSpaceDE w:val="0"/>
        <w:autoSpaceDN w:val="0"/>
        <w:adjustRightInd w:val="0"/>
        <w:rPr>
          <w:rFonts w:cs="Times New Roman"/>
          <w:b/>
          <w:szCs w:val="18"/>
        </w:rPr>
      </w:pPr>
    </w:p>
    <w:p w:rsidR="005966DE" w:rsidRPr="00E66D57" w:rsidRDefault="00106AE2" w:rsidP="002C1687">
      <w:pPr>
        <w:widowControl w:val="0"/>
        <w:autoSpaceDE w:val="0"/>
        <w:autoSpaceDN w:val="0"/>
        <w:adjustRightInd w:val="0"/>
        <w:rPr>
          <w:rFonts w:cs="Times New Roman"/>
          <w:b/>
          <w:szCs w:val="18"/>
        </w:rPr>
      </w:pPr>
      <w:r w:rsidRPr="00E66D57">
        <w:rPr>
          <w:rFonts w:cs="Times New Roman"/>
          <w:b/>
          <w:szCs w:val="18"/>
        </w:rPr>
        <w:t>Party</w:t>
      </w:r>
      <w:r w:rsidR="008377B0" w:rsidRPr="00E66D57">
        <w:rPr>
          <w:rFonts w:cs="Times New Roman"/>
          <w:b/>
          <w:szCs w:val="18"/>
        </w:rPr>
        <w:t xml:space="preserve"> to the hearing</w:t>
      </w:r>
      <w:r w:rsidRPr="00E66D57">
        <w:rPr>
          <w:rFonts w:cs="Times New Roman"/>
          <w:b/>
          <w:szCs w:val="18"/>
        </w:rPr>
        <w:t xml:space="preserve">: </w:t>
      </w:r>
      <w:r w:rsidR="005966DE" w:rsidRPr="00E66D57">
        <w:rPr>
          <w:rFonts w:cs="Times New Roman"/>
          <w:szCs w:val="18"/>
        </w:rPr>
        <w:t>Party means an individual or entity</w:t>
      </w:r>
      <w:r w:rsidR="005966DE" w:rsidRPr="00E66D57">
        <w:rPr>
          <w:rStyle w:val="FootnoteReference"/>
          <w:rFonts w:cs="Times New Roman"/>
          <w:szCs w:val="18"/>
        </w:rPr>
        <w:footnoteReference w:id="0"/>
      </w:r>
      <w:r w:rsidR="005966DE" w:rsidRPr="00E66D57">
        <w:rPr>
          <w:rFonts w:cs="Times New Roman"/>
          <w:szCs w:val="18"/>
        </w:rPr>
        <w:t xml:space="preserve"> that has standing to appeal an initial determination and/or a subsequent administrative appeal determination.</w:t>
      </w:r>
    </w:p>
    <w:p w:rsidR="00641B6B" w:rsidRPr="00E66D57" w:rsidRDefault="00024CF4" w:rsidP="00641B6B">
      <w:pPr>
        <w:pStyle w:val="ListParagraph"/>
        <w:widowControl w:val="0"/>
        <w:numPr>
          <w:ilvl w:val="0"/>
          <w:numId w:val="3"/>
        </w:numPr>
        <w:autoSpaceDE w:val="0"/>
        <w:autoSpaceDN w:val="0"/>
        <w:adjustRightInd w:val="0"/>
        <w:rPr>
          <w:rFonts w:cs="Times New Roman"/>
          <w:szCs w:val="18"/>
        </w:rPr>
      </w:pPr>
      <w:r w:rsidRPr="00E66D57">
        <w:rPr>
          <w:rFonts w:cs="Times New Roman"/>
          <w:szCs w:val="18"/>
        </w:rPr>
        <w:t xml:space="preserve">The final rule allows </w:t>
      </w:r>
      <w:r w:rsidR="00106AE2" w:rsidRPr="00E66D57">
        <w:rPr>
          <w:rFonts w:cs="Times New Roman"/>
          <w:szCs w:val="18"/>
        </w:rPr>
        <w:t xml:space="preserve">CMS or one of its contractors </w:t>
      </w:r>
      <w:r w:rsidRPr="00E66D57">
        <w:rPr>
          <w:rFonts w:cs="Times New Roman"/>
          <w:szCs w:val="18"/>
        </w:rPr>
        <w:t>to</w:t>
      </w:r>
      <w:r w:rsidR="00106AE2" w:rsidRPr="00E66D57">
        <w:rPr>
          <w:rFonts w:cs="Times New Roman"/>
          <w:szCs w:val="18"/>
        </w:rPr>
        <w:t xml:space="preserve"> elect to be a party to the hearing upon filing a notice of intent to be a party to the no later than 10 calendar days after the QIC receives the notice of hearing </w:t>
      </w:r>
      <w:r w:rsidRPr="00E66D57">
        <w:rPr>
          <w:rFonts w:cs="Times New Roman"/>
          <w:szCs w:val="18"/>
        </w:rPr>
        <w:t xml:space="preserve">(unless the request for hearing is filed </w:t>
      </w:r>
      <w:r w:rsidR="002C1687" w:rsidRPr="00E66D57">
        <w:rPr>
          <w:rFonts w:cs="Times New Roman"/>
          <w:szCs w:val="18"/>
        </w:rPr>
        <w:t>by an unrepresented beneficiary</w:t>
      </w:r>
      <w:r w:rsidRPr="00E66D57">
        <w:rPr>
          <w:rFonts w:cs="Times New Roman"/>
          <w:szCs w:val="18"/>
        </w:rPr>
        <w:t>).</w:t>
      </w:r>
    </w:p>
    <w:p w:rsidR="00106AE2" w:rsidRPr="00E66D57" w:rsidRDefault="00106AE2" w:rsidP="00D84CC8">
      <w:pPr>
        <w:widowControl w:val="0"/>
        <w:autoSpaceDE w:val="0"/>
        <w:autoSpaceDN w:val="0"/>
        <w:adjustRightInd w:val="0"/>
        <w:rPr>
          <w:rFonts w:cs="Times New Roman"/>
          <w:b/>
          <w:szCs w:val="18"/>
        </w:rPr>
      </w:pPr>
    </w:p>
    <w:p w:rsidR="005C0AA6" w:rsidRPr="00E66D57" w:rsidRDefault="00106AE2" w:rsidP="00024CF4">
      <w:pPr>
        <w:widowControl w:val="0"/>
        <w:autoSpaceDE w:val="0"/>
        <w:autoSpaceDN w:val="0"/>
        <w:adjustRightInd w:val="0"/>
        <w:rPr>
          <w:rFonts w:cs="Times New Roman"/>
          <w:szCs w:val="18"/>
        </w:rPr>
      </w:pPr>
      <w:r w:rsidRPr="00E66D57">
        <w:rPr>
          <w:rFonts w:cs="Times New Roman"/>
          <w:b/>
          <w:szCs w:val="18"/>
        </w:rPr>
        <w:t>Participation</w:t>
      </w:r>
      <w:r w:rsidR="008377B0" w:rsidRPr="00E66D57">
        <w:rPr>
          <w:rFonts w:cs="Times New Roman"/>
          <w:b/>
          <w:szCs w:val="18"/>
        </w:rPr>
        <w:t xml:space="preserve"> in the hearing</w:t>
      </w:r>
      <w:r w:rsidRPr="00E66D57">
        <w:rPr>
          <w:rFonts w:cs="Times New Roman"/>
          <w:b/>
          <w:szCs w:val="18"/>
        </w:rPr>
        <w:t xml:space="preserve">: </w:t>
      </w:r>
      <w:r w:rsidR="00024CF4" w:rsidRPr="00E66D57">
        <w:rPr>
          <w:rFonts w:cs="Times New Roman"/>
          <w:szCs w:val="18"/>
        </w:rPr>
        <w:t>The final rule allows</w:t>
      </w:r>
      <w:r w:rsidR="00024CF4" w:rsidRPr="00E66D57">
        <w:rPr>
          <w:rFonts w:cs="Times New Roman"/>
          <w:b/>
          <w:szCs w:val="18"/>
        </w:rPr>
        <w:t xml:space="preserve"> </w:t>
      </w:r>
      <w:r w:rsidR="00024CF4" w:rsidRPr="00E66D57">
        <w:rPr>
          <w:rFonts w:cs="Times New Roman"/>
          <w:szCs w:val="18"/>
        </w:rPr>
        <w:t>CMS or a contractor to elect to participate in an ALJ hearing</w:t>
      </w:r>
      <w:r w:rsidR="003235C6">
        <w:rPr>
          <w:rFonts w:cs="Times New Roman"/>
          <w:szCs w:val="18"/>
        </w:rPr>
        <w:t xml:space="preserve"> on request</w:t>
      </w:r>
      <w:r w:rsidR="00024CF4" w:rsidRPr="00E66D57">
        <w:rPr>
          <w:rFonts w:cs="Times New Roman"/>
          <w:szCs w:val="18"/>
        </w:rPr>
        <w:t>, in addition to participating in an ALJ hearing as a non-party participant.</w:t>
      </w:r>
    </w:p>
    <w:p w:rsidR="005C0AA6" w:rsidRPr="00E66D57" w:rsidRDefault="005C0AA6" w:rsidP="005C0AA6">
      <w:pPr>
        <w:pStyle w:val="ListParagraph"/>
        <w:widowControl w:val="0"/>
        <w:numPr>
          <w:ilvl w:val="0"/>
          <w:numId w:val="3"/>
        </w:numPr>
        <w:autoSpaceDE w:val="0"/>
        <w:autoSpaceDN w:val="0"/>
        <w:adjustRightInd w:val="0"/>
        <w:rPr>
          <w:rFonts w:cs="Times New Roman"/>
          <w:szCs w:val="18"/>
        </w:rPr>
      </w:pPr>
      <w:r w:rsidRPr="00E66D57">
        <w:rPr>
          <w:rFonts w:cs="Times New Roman"/>
          <w:szCs w:val="18"/>
        </w:rPr>
        <w:t xml:space="preserve">When CMS or its contractor has been made a </w:t>
      </w:r>
      <w:r w:rsidRPr="003235C6">
        <w:rPr>
          <w:rFonts w:cs="Times New Roman"/>
          <w:i/>
          <w:szCs w:val="18"/>
        </w:rPr>
        <w:t>party</w:t>
      </w:r>
      <w:r w:rsidRPr="00E66D57">
        <w:rPr>
          <w:rFonts w:cs="Times New Roman"/>
          <w:szCs w:val="18"/>
        </w:rPr>
        <w:t xml:space="preserve"> to a hearing, CMS or its contractor that elected to be a </w:t>
      </w:r>
      <w:r w:rsidRPr="00E66D57">
        <w:rPr>
          <w:rFonts w:cs="Times New Roman"/>
          <w:i/>
          <w:szCs w:val="18"/>
        </w:rPr>
        <w:t>participant</w:t>
      </w:r>
      <w:r w:rsidRPr="00E66D57">
        <w:rPr>
          <w:rFonts w:cs="Times New Roman"/>
          <w:szCs w:val="18"/>
        </w:rPr>
        <w:t xml:space="preserve"> may not participate in the oral hearing, but </w:t>
      </w:r>
    </w:p>
    <w:p w:rsidR="005C0AA6" w:rsidRPr="00E66D57" w:rsidRDefault="005C0AA6" w:rsidP="005C0AA6">
      <w:pPr>
        <w:pStyle w:val="ListParagraph"/>
        <w:widowControl w:val="0"/>
        <w:numPr>
          <w:ilvl w:val="1"/>
          <w:numId w:val="3"/>
        </w:numPr>
        <w:autoSpaceDE w:val="0"/>
        <w:autoSpaceDN w:val="0"/>
        <w:adjustRightInd w:val="0"/>
        <w:rPr>
          <w:rFonts w:cs="Times New Roman"/>
          <w:szCs w:val="18"/>
        </w:rPr>
      </w:pPr>
      <w:r w:rsidRPr="00E66D57">
        <w:rPr>
          <w:rFonts w:cs="Times New Roman"/>
          <w:szCs w:val="18"/>
        </w:rPr>
        <w:t xml:space="preserve">They may file position papers and/or provide written testimony to clarify factual or policy issues.  Copies of position papers and/or written testimony must be provided to the enrollee.  </w:t>
      </w:r>
    </w:p>
    <w:p w:rsidR="005C0AA6" w:rsidRPr="00E66D57" w:rsidRDefault="005C0AA6" w:rsidP="005C0AA6">
      <w:pPr>
        <w:pStyle w:val="ListParagraph"/>
        <w:widowControl w:val="0"/>
        <w:numPr>
          <w:ilvl w:val="1"/>
          <w:numId w:val="3"/>
        </w:numPr>
        <w:autoSpaceDE w:val="0"/>
        <w:autoSpaceDN w:val="0"/>
        <w:adjustRightInd w:val="0"/>
        <w:rPr>
          <w:rFonts w:cs="Times New Roman"/>
          <w:szCs w:val="18"/>
        </w:rPr>
      </w:pPr>
      <w:r w:rsidRPr="00E66D57">
        <w:rPr>
          <w:rFonts w:cs="Times New Roman"/>
          <w:szCs w:val="18"/>
        </w:rPr>
        <w:t xml:space="preserve">CMS or its contractor may be called as a witness by CMS or its contractor that is a party to the hearing. OMHA expects this to be an infrequent occurrence.  </w:t>
      </w:r>
    </w:p>
    <w:p w:rsidR="008377B0" w:rsidRPr="00E66D57" w:rsidRDefault="00106AE2" w:rsidP="008377B0">
      <w:pPr>
        <w:pStyle w:val="ListParagraph"/>
        <w:widowControl w:val="0"/>
        <w:numPr>
          <w:ilvl w:val="0"/>
          <w:numId w:val="5"/>
        </w:numPr>
        <w:autoSpaceDE w:val="0"/>
        <w:autoSpaceDN w:val="0"/>
        <w:adjustRightInd w:val="0"/>
        <w:rPr>
          <w:rFonts w:cs="Times New Roman"/>
          <w:szCs w:val="18"/>
        </w:rPr>
      </w:pPr>
      <w:r w:rsidRPr="00E66D57">
        <w:rPr>
          <w:rFonts w:cs="Times New Roman"/>
          <w:szCs w:val="18"/>
        </w:rPr>
        <w:t xml:space="preserve">An ALJ may request, but not require CMS and/or one or more if its contractors to participate in any proceedings before the ALJ, including oral hearings. The ALJ cannot draw any adverse inferences if CMS or its contractor decides not to participate in the proceedings. </w:t>
      </w:r>
    </w:p>
    <w:p w:rsidR="00322AC8" w:rsidRPr="00E66D57" w:rsidRDefault="00106AE2" w:rsidP="00322AC8">
      <w:pPr>
        <w:pStyle w:val="ListParagraph"/>
        <w:widowControl w:val="0"/>
        <w:numPr>
          <w:ilvl w:val="0"/>
          <w:numId w:val="5"/>
        </w:numPr>
        <w:autoSpaceDE w:val="0"/>
        <w:autoSpaceDN w:val="0"/>
        <w:adjustRightInd w:val="0"/>
        <w:rPr>
          <w:rFonts w:cs="Times New Roman"/>
          <w:szCs w:val="18"/>
        </w:rPr>
      </w:pPr>
      <w:r w:rsidRPr="00E66D57">
        <w:rPr>
          <w:rFonts w:cs="Times New Roman"/>
          <w:szCs w:val="18"/>
        </w:rPr>
        <w:t xml:space="preserve">Participation may include filing position papers and/or providing written testimony to clarify factual or policy issues, but it does not include calling witnesses or cross-examining a party’s witnesses. </w:t>
      </w:r>
    </w:p>
    <w:p w:rsidR="008377B0" w:rsidRPr="00E66D57" w:rsidRDefault="00024CF4" w:rsidP="00322AC8">
      <w:pPr>
        <w:pStyle w:val="ListParagraph"/>
        <w:widowControl w:val="0"/>
        <w:numPr>
          <w:ilvl w:val="0"/>
          <w:numId w:val="5"/>
        </w:numPr>
        <w:autoSpaceDE w:val="0"/>
        <w:autoSpaceDN w:val="0"/>
        <w:adjustRightInd w:val="0"/>
      </w:pPr>
      <w:r w:rsidRPr="00E66D57">
        <w:t>When CMS or its contractor participates in an ALJ hearing, CMS or its contractor may not be called as a witness during the hearing and is not subject to examination or cross</w:t>
      </w:r>
      <w:r w:rsidR="00322AC8" w:rsidRPr="00E66D57">
        <w:t xml:space="preserve"> </w:t>
      </w:r>
      <w:r w:rsidRPr="00E66D57">
        <w:t>examination by the parties</w:t>
      </w:r>
      <w:r w:rsidR="00322AC8" w:rsidRPr="00E66D57">
        <w:t xml:space="preserve"> (unless the ALJ determines </w:t>
      </w:r>
      <w:r w:rsidR="00AF6DB4">
        <w:t>that their</w:t>
      </w:r>
      <w:r w:rsidR="00322AC8" w:rsidRPr="00E66D57">
        <w:t xml:space="preserve"> participation is necessary for a full examination of the matters at issue).  However, the parties may provide testimony to rebut factual or policy statements made by a participant </w:t>
      </w:r>
      <w:r w:rsidR="00322AC8" w:rsidRPr="00E66D57">
        <w:rPr>
          <w:rFonts w:cs="Times New Roman"/>
          <w:szCs w:val="18"/>
        </w:rPr>
        <w:t>and the ALJ may question the participant about its testimony.</w:t>
      </w:r>
    </w:p>
    <w:p w:rsidR="008377B0" w:rsidRPr="002268B8" w:rsidRDefault="00106AE2" w:rsidP="00A33CAB">
      <w:pPr>
        <w:pStyle w:val="ListParagraph"/>
        <w:widowControl w:val="0"/>
        <w:numPr>
          <w:ilvl w:val="0"/>
          <w:numId w:val="5"/>
        </w:numPr>
        <w:autoSpaceDE w:val="0"/>
        <w:autoSpaceDN w:val="0"/>
        <w:adjustRightInd w:val="0"/>
        <w:rPr>
          <w:rFonts w:cs="Times New Roman"/>
          <w:b/>
          <w:szCs w:val="18"/>
        </w:rPr>
      </w:pPr>
      <w:r w:rsidRPr="002268B8">
        <w:rPr>
          <w:rFonts w:cs="Times New Roman"/>
          <w:b/>
          <w:szCs w:val="18"/>
        </w:rPr>
        <w:t xml:space="preserve">If CMS or a contractor did not elect to be a </w:t>
      </w:r>
      <w:r w:rsidR="002268B8" w:rsidRPr="002268B8">
        <w:rPr>
          <w:rFonts w:cs="Times New Roman"/>
          <w:b/>
          <w:szCs w:val="18"/>
        </w:rPr>
        <w:t>participant</w:t>
      </w:r>
      <w:r w:rsidRPr="002268B8">
        <w:rPr>
          <w:rFonts w:cs="Times New Roman"/>
          <w:b/>
          <w:szCs w:val="18"/>
        </w:rPr>
        <w:t xml:space="preserve"> to the hearing, but more than one entity elected to be </w:t>
      </w:r>
      <w:r w:rsidR="00F17DC9" w:rsidRPr="002268B8">
        <w:rPr>
          <w:rFonts w:cs="Times New Roman"/>
          <w:b/>
          <w:szCs w:val="18"/>
        </w:rPr>
        <w:t>participate</w:t>
      </w:r>
      <w:r w:rsidRPr="002268B8">
        <w:rPr>
          <w:rFonts w:cs="Times New Roman"/>
          <w:b/>
          <w:szCs w:val="18"/>
        </w:rPr>
        <w:t xml:space="preserve">, only the first entity to file a response to the notice of hearing may participate in the oral hearing.  </w:t>
      </w:r>
    </w:p>
    <w:p w:rsidR="00374A6C" w:rsidRPr="00E66D57" w:rsidRDefault="00106AE2" w:rsidP="00106AE2">
      <w:pPr>
        <w:pStyle w:val="ListParagraph"/>
        <w:widowControl w:val="0"/>
        <w:numPr>
          <w:ilvl w:val="1"/>
          <w:numId w:val="5"/>
        </w:numPr>
        <w:autoSpaceDE w:val="0"/>
        <w:autoSpaceDN w:val="0"/>
        <w:adjustRightInd w:val="0"/>
        <w:rPr>
          <w:rFonts w:cs="Times New Roman"/>
          <w:szCs w:val="18"/>
        </w:rPr>
      </w:pPr>
      <w:r w:rsidRPr="00E66D57">
        <w:rPr>
          <w:rFonts w:cs="Times New Roman"/>
          <w:szCs w:val="18"/>
        </w:rPr>
        <w:t>Additional entities that filed response</w:t>
      </w:r>
      <w:r w:rsidR="00F17DC9" w:rsidRPr="00E66D57">
        <w:rPr>
          <w:rFonts w:cs="Times New Roman"/>
          <w:szCs w:val="18"/>
        </w:rPr>
        <w:t>s</w:t>
      </w:r>
      <w:r w:rsidRPr="00E66D57">
        <w:rPr>
          <w:rFonts w:cs="Times New Roman"/>
          <w:szCs w:val="18"/>
        </w:rPr>
        <w:t xml:space="preserve"> to participate </w:t>
      </w:r>
      <w:r w:rsidR="00F17DC9" w:rsidRPr="00E66D57">
        <w:rPr>
          <w:rFonts w:cs="Times New Roman"/>
          <w:szCs w:val="18"/>
        </w:rPr>
        <w:t xml:space="preserve">may </w:t>
      </w:r>
      <w:r w:rsidRPr="00E66D57">
        <w:rPr>
          <w:rFonts w:cs="Times New Roman"/>
          <w:szCs w:val="18"/>
        </w:rPr>
        <w:t>file position papers and/or provide written testimony to clarify factual or policy issues</w:t>
      </w:r>
      <w:r w:rsidR="00F17DC9" w:rsidRPr="00E66D57">
        <w:rPr>
          <w:rFonts w:cs="Times New Roman"/>
          <w:szCs w:val="18"/>
        </w:rPr>
        <w:t xml:space="preserve">. </w:t>
      </w:r>
      <w:r w:rsidR="00A33CAB" w:rsidRPr="00E66D57">
        <w:rPr>
          <w:rFonts w:cs="Times New Roman"/>
          <w:szCs w:val="18"/>
        </w:rPr>
        <w:t xml:space="preserve">Copies of position papers and/or written testimony must be provided to the enrollee.  </w:t>
      </w:r>
    </w:p>
    <w:p w:rsidR="00374A6C" w:rsidRPr="00E66D57" w:rsidRDefault="002268B8" w:rsidP="00374A6C">
      <w:pPr>
        <w:pStyle w:val="ListParagraph"/>
        <w:widowControl w:val="0"/>
        <w:numPr>
          <w:ilvl w:val="0"/>
          <w:numId w:val="5"/>
        </w:numPr>
        <w:autoSpaceDE w:val="0"/>
        <w:autoSpaceDN w:val="0"/>
        <w:adjustRightInd w:val="0"/>
        <w:rPr>
          <w:rFonts w:cs="Times New Roman"/>
          <w:szCs w:val="18"/>
        </w:rPr>
      </w:pPr>
      <w:r>
        <w:rPr>
          <w:rFonts w:cs="Times New Roman"/>
          <w:szCs w:val="18"/>
        </w:rPr>
        <w:t>HHS</w:t>
      </w:r>
      <w:r w:rsidR="00374A6C" w:rsidRPr="00E66D57">
        <w:rPr>
          <w:rFonts w:cs="Times New Roman"/>
          <w:szCs w:val="18"/>
        </w:rPr>
        <w:t xml:space="preserve"> believes that contractors have generally set forth their positions on those arguments in the lower-level decisions or will have an opportunity to do so through the written submissions to OMHA.</w:t>
      </w:r>
    </w:p>
    <w:p w:rsidR="0016163C" w:rsidRPr="00E66D57" w:rsidRDefault="00F17DC9" w:rsidP="008377B0">
      <w:pPr>
        <w:pStyle w:val="ListParagraph"/>
        <w:widowControl w:val="0"/>
        <w:numPr>
          <w:ilvl w:val="0"/>
          <w:numId w:val="5"/>
        </w:numPr>
        <w:autoSpaceDE w:val="0"/>
        <w:autoSpaceDN w:val="0"/>
        <w:adjustRightInd w:val="0"/>
        <w:rPr>
          <w:rFonts w:cs="Times New Roman"/>
          <w:szCs w:val="18"/>
        </w:rPr>
      </w:pPr>
      <w:r w:rsidRPr="00E66D57">
        <w:rPr>
          <w:rFonts w:cs="Times New Roman"/>
          <w:szCs w:val="18"/>
        </w:rPr>
        <w:t xml:space="preserve">The ALJ may grant leave to additional entities to attend the hearing such as when an LCD involves multiple MACs or when the contractor that conducted the statistical sampling and extrapolation and a contractor to clarify the policy are involved.  </w:t>
      </w:r>
      <w:r w:rsidRPr="00E66D57">
        <w:rPr>
          <w:rFonts w:cs="Times New Roman"/>
          <w:b/>
          <w:szCs w:val="18"/>
        </w:rPr>
        <w:t xml:space="preserve"> </w:t>
      </w:r>
    </w:p>
    <w:p w:rsidR="0016163C" w:rsidRPr="00E66D57" w:rsidRDefault="0016163C" w:rsidP="008377B0">
      <w:pPr>
        <w:pStyle w:val="ListParagraph"/>
        <w:widowControl w:val="0"/>
        <w:numPr>
          <w:ilvl w:val="0"/>
          <w:numId w:val="5"/>
        </w:numPr>
        <w:autoSpaceDE w:val="0"/>
        <w:autoSpaceDN w:val="0"/>
        <w:adjustRightInd w:val="0"/>
        <w:rPr>
          <w:rFonts w:cs="Times New Roman"/>
          <w:szCs w:val="18"/>
        </w:rPr>
      </w:pPr>
      <w:r w:rsidRPr="00E66D57">
        <w:rPr>
          <w:rFonts w:cs="Times New Roman"/>
          <w:szCs w:val="18"/>
        </w:rPr>
        <w:t xml:space="preserve">If the hearing is scheduled, the ALJ will notify the contractors regarding their </w:t>
      </w:r>
      <w:r w:rsidR="00D74622">
        <w:rPr>
          <w:rFonts w:cs="Times New Roman"/>
          <w:szCs w:val="18"/>
        </w:rPr>
        <w:t xml:space="preserve">possible </w:t>
      </w:r>
      <w:r w:rsidRPr="00E66D57">
        <w:rPr>
          <w:rFonts w:cs="Times New Roman"/>
          <w:szCs w:val="18"/>
        </w:rPr>
        <w:t xml:space="preserve">participation prior to the hearing.  OMHA will develop a consistent notification process including when notifications should be made and method of notification delivery.  </w:t>
      </w:r>
    </w:p>
    <w:p w:rsidR="002268B8" w:rsidRDefault="002268B8" w:rsidP="008377B0">
      <w:pPr>
        <w:pStyle w:val="ListParagraph"/>
        <w:widowControl w:val="0"/>
        <w:numPr>
          <w:ilvl w:val="0"/>
          <w:numId w:val="5"/>
        </w:numPr>
        <w:autoSpaceDE w:val="0"/>
        <w:autoSpaceDN w:val="0"/>
        <w:adjustRightInd w:val="0"/>
        <w:rPr>
          <w:rFonts w:cs="Times New Roman"/>
          <w:szCs w:val="18"/>
        </w:rPr>
      </w:pPr>
      <w:r w:rsidRPr="003235C6">
        <w:rPr>
          <w:rFonts w:ascii="Times New Roman" w:hAnsi="Times New Roman" w:cs="Times New Roman"/>
          <w:szCs w:val="18"/>
        </w:rPr>
        <w:t>With respect to concerns related to a contractor’s ability to satisfy its contractual obligations, after the final rule is effective</w:t>
      </w:r>
      <w:r>
        <w:rPr>
          <w:rFonts w:cs="Times New Roman"/>
          <w:szCs w:val="18"/>
        </w:rPr>
        <w:t xml:space="preserve">, </w:t>
      </w:r>
      <w:r w:rsidR="0016163C" w:rsidRPr="00E66D57">
        <w:rPr>
          <w:rFonts w:cs="Times New Roman"/>
          <w:szCs w:val="18"/>
        </w:rPr>
        <w:t xml:space="preserve">CMS intends to make modifications to account for the provisions of this final rule regarding participation of contractors and encourage the contractors to coordinate participation in the hearings.  </w:t>
      </w:r>
      <w:r>
        <w:rPr>
          <w:rFonts w:cs="Times New Roman"/>
          <w:szCs w:val="18"/>
        </w:rPr>
        <w:t xml:space="preserve">However there is no timeframe for the modifications. </w:t>
      </w:r>
    </w:p>
    <w:p w:rsidR="00106AE2" w:rsidRPr="002268B8" w:rsidRDefault="002268B8" w:rsidP="002268B8">
      <w:pPr>
        <w:pStyle w:val="ListParagraph"/>
        <w:widowControl w:val="0"/>
        <w:numPr>
          <w:ilvl w:val="1"/>
          <w:numId w:val="5"/>
        </w:numPr>
        <w:autoSpaceDE w:val="0"/>
        <w:autoSpaceDN w:val="0"/>
        <w:adjustRightInd w:val="0"/>
        <w:rPr>
          <w:rFonts w:ascii="Times New Roman" w:hAnsi="Times New Roman" w:cs="Times New Roman"/>
          <w:szCs w:val="18"/>
        </w:rPr>
      </w:pPr>
      <w:r w:rsidRPr="002268B8">
        <w:rPr>
          <w:rFonts w:ascii="Times New Roman" w:hAnsi="Times New Roman" w:cs="Times New Roman"/>
          <w:szCs w:val="18"/>
        </w:rPr>
        <w:t>(This was in MAXIMUS’ comment letter.)</w:t>
      </w:r>
      <w:r w:rsidRPr="002268B8">
        <w:rPr>
          <w:rFonts w:cs="Times New Roman"/>
          <w:szCs w:val="18"/>
        </w:rPr>
        <w:tab/>
      </w:r>
    </w:p>
    <w:p w:rsidR="000274B7" w:rsidRPr="00E66D57" w:rsidRDefault="000274B7" w:rsidP="00D84CC8">
      <w:pPr>
        <w:widowControl w:val="0"/>
        <w:autoSpaceDE w:val="0"/>
        <w:autoSpaceDN w:val="0"/>
        <w:adjustRightInd w:val="0"/>
        <w:rPr>
          <w:rFonts w:cs="Times New Roman"/>
          <w:szCs w:val="18"/>
        </w:rPr>
      </w:pPr>
    </w:p>
    <w:p w:rsidR="003235C6" w:rsidRPr="003235C6" w:rsidRDefault="000274B7" w:rsidP="00D84CC8">
      <w:pPr>
        <w:widowControl w:val="0"/>
        <w:autoSpaceDE w:val="0"/>
        <w:autoSpaceDN w:val="0"/>
        <w:adjustRightInd w:val="0"/>
        <w:rPr>
          <w:rFonts w:cs="Times New Roman"/>
          <w:szCs w:val="18"/>
        </w:rPr>
      </w:pPr>
      <w:r w:rsidRPr="00E66D57">
        <w:rPr>
          <w:rFonts w:cs="Times New Roman"/>
          <w:szCs w:val="18"/>
        </w:rPr>
        <w:t>If CMS or its contractor is a party or participant to the oral hearing but does not appear as scheduled, the hearing may proceed without that entity</w:t>
      </w:r>
      <w:r w:rsidR="00632BD9" w:rsidRPr="00E66D57">
        <w:rPr>
          <w:rFonts w:cs="Times New Roman"/>
          <w:szCs w:val="18"/>
        </w:rPr>
        <w:t xml:space="preserve"> because the regulation does not require or </w:t>
      </w:r>
      <w:r w:rsidR="00632BD9" w:rsidRPr="003235C6">
        <w:rPr>
          <w:rFonts w:cs="Times New Roman"/>
          <w:szCs w:val="18"/>
        </w:rPr>
        <w:t xml:space="preserve">guarantee such participation.  </w:t>
      </w:r>
    </w:p>
    <w:p w:rsidR="003235C6" w:rsidRPr="003235C6" w:rsidRDefault="003235C6" w:rsidP="00D84CC8">
      <w:pPr>
        <w:widowControl w:val="0"/>
        <w:autoSpaceDE w:val="0"/>
        <w:autoSpaceDN w:val="0"/>
        <w:adjustRightInd w:val="0"/>
        <w:rPr>
          <w:rFonts w:cs="Times New Roman"/>
          <w:szCs w:val="18"/>
        </w:rPr>
      </w:pPr>
    </w:p>
    <w:p w:rsidR="00DF0ED5" w:rsidRPr="00E66D57" w:rsidRDefault="00DF0ED5" w:rsidP="00DF0ED5">
      <w:pPr>
        <w:widowControl w:val="0"/>
        <w:autoSpaceDE w:val="0"/>
        <w:autoSpaceDN w:val="0"/>
        <w:adjustRightInd w:val="0"/>
        <w:rPr>
          <w:rFonts w:cs="Times New Roman"/>
          <w:szCs w:val="18"/>
        </w:rPr>
      </w:pPr>
      <w:r w:rsidRPr="00E66D57">
        <w:rPr>
          <w:rFonts w:cs="Times New Roman"/>
          <w:b/>
          <w:szCs w:val="18"/>
        </w:rPr>
        <w:t>Notification of Hearings:</w:t>
      </w:r>
      <w:r w:rsidRPr="00E66D57">
        <w:rPr>
          <w:rFonts w:cs="Times New Roman"/>
          <w:szCs w:val="18"/>
        </w:rPr>
        <w:t xml:space="preserve"> Currently, CMS and its contractors can view in the case management system used by QICs if a QIC reconsideration has been appealed. However, OMHA and CMS plan to establish a process for notification to CMS contractors and Part C and D plan sponsors that a request for a hearing has been filed.</w:t>
      </w:r>
      <w:r w:rsidR="002268B8">
        <w:rPr>
          <w:rFonts w:cs="Times New Roman"/>
          <w:szCs w:val="18"/>
        </w:rPr>
        <w:t xml:space="preserve"> (However there is no timeframe for the modifications.)</w:t>
      </w:r>
      <w:r w:rsidRPr="00E66D57">
        <w:rPr>
          <w:rFonts w:cs="Times New Roman"/>
          <w:szCs w:val="18"/>
        </w:rPr>
        <w:t xml:space="preserve"> If a hearing is ultimately scheduled, any entity that has already elected to participate in the proceeding will receive a notice of hearing.  </w:t>
      </w:r>
    </w:p>
    <w:p w:rsidR="00BF7108" w:rsidRPr="00E66D57" w:rsidRDefault="00BF7108" w:rsidP="00D84CC8">
      <w:pPr>
        <w:widowControl w:val="0"/>
        <w:autoSpaceDE w:val="0"/>
        <w:autoSpaceDN w:val="0"/>
        <w:adjustRightInd w:val="0"/>
        <w:rPr>
          <w:rFonts w:cs="Times New Roman"/>
          <w:szCs w:val="18"/>
        </w:rPr>
      </w:pPr>
    </w:p>
    <w:p w:rsidR="005C0AA6" w:rsidRPr="00E66D57" w:rsidRDefault="005C0AA6" w:rsidP="005C0AA6">
      <w:pPr>
        <w:widowControl w:val="0"/>
        <w:autoSpaceDE w:val="0"/>
        <w:autoSpaceDN w:val="0"/>
        <w:adjustRightInd w:val="0"/>
        <w:rPr>
          <w:rFonts w:cs="Times New Roman"/>
          <w:szCs w:val="18"/>
        </w:rPr>
      </w:pPr>
      <w:r w:rsidRPr="00E66D57">
        <w:rPr>
          <w:rFonts w:cs="Times New Roman"/>
          <w:b/>
          <w:szCs w:val="18"/>
        </w:rPr>
        <w:t>Timeline for Election to Participate:</w:t>
      </w:r>
      <w:r w:rsidRPr="00E66D57">
        <w:rPr>
          <w:rFonts w:cs="Times New Roman"/>
          <w:szCs w:val="18"/>
        </w:rPr>
        <w:t xml:space="preserve"> CMS or its contractors must make an election to participate in a hearing:</w:t>
      </w:r>
    </w:p>
    <w:p w:rsidR="005C0AA6" w:rsidRPr="00E66D57" w:rsidRDefault="005C0AA6" w:rsidP="005C0AA6">
      <w:pPr>
        <w:pStyle w:val="ListParagraph"/>
        <w:widowControl w:val="0"/>
        <w:numPr>
          <w:ilvl w:val="0"/>
          <w:numId w:val="6"/>
        </w:numPr>
        <w:autoSpaceDE w:val="0"/>
        <w:autoSpaceDN w:val="0"/>
        <w:adjustRightInd w:val="0"/>
        <w:rPr>
          <w:rFonts w:cs="Times New Roman"/>
          <w:szCs w:val="18"/>
        </w:rPr>
      </w:pPr>
      <w:r w:rsidRPr="00E66D57">
        <w:rPr>
          <w:rFonts w:cs="Times New Roman"/>
          <w:szCs w:val="18"/>
        </w:rPr>
        <w:t xml:space="preserve">No later than 30 calendar days after the notification that a request for hearing was filed, or, </w:t>
      </w:r>
    </w:p>
    <w:p w:rsidR="005C0AA6" w:rsidRPr="00E66D57" w:rsidRDefault="002268B8" w:rsidP="00D84CC8">
      <w:pPr>
        <w:pStyle w:val="ListParagraph"/>
        <w:widowControl w:val="0"/>
        <w:numPr>
          <w:ilvl w:val="0"/>
          <w:numId w:val="6"/>
        </w:numPr>
        <w:autoSpaceDE w:val="0"/>
        <w:autoSpaceDN w:val="0"/>
        <w:adjustRightInd w:val="0"/>
        <w:rPr>
          <w:rFonts w:cs="Times New Roman"/>
          <w:szCs w:val="18"/>
        </w:rPr>
      </w:pPr>
      <w:r>
        <w:rPr>
          <w:rFonts w:cs="Times New Roman"/>
          <w:szCs w:val="18"/>
        </w:rPr>
        <w:t>Once</w:t>
      </w:r>
      <w:r w:rsidR="005C0AA6" w:rsidRPr="00E66D57">
        <w:rPr>
          <w:rFonts w:cs="Times New Roman"/>
          <w:szCs w:val="18"/>
        </w:rPr>
        <w:t xml:space="preserve"> a hearing is scheduled, no later than 10 calendar days after receiving the notice of hearing.</w:t>
      </w:r>
    </w:p>
    <w:p w:rsidR="001C267C" w:rsidRPr="00E66D57" w:rsidRDefault="001C267C" w:rsidP="005C0AA6">
      <w:pPr>
        <w:widowControl w:val="0"/>
        <w:autoSpaceDE w:val="0"/>
        <w:autoSpaceDN w:val="0"/>
        <w:adjustRightInd w:val="0"/>
        <w:rPr>
          <w:rFonts w:cs="Times New Roman"/>
          <w:b/>
          <w:szCs w:val="18"/>
        </w:rPr>
      </w:pPr>
    </w:p>
    <w:p w:rsidR="001C267C" w:rsidRPr="00E66D57" w:rsidRDefault="001C267C" w:rsidP="005C0AA6">
      <w:pPr>
        <w:widowControl w:val="0"/>
        <w:autoSpaceDE w:val="0"/>
        <w:autoSpaceDN w:val="0"/>
        <w:adjustRightInd w:val="0"/>
        <w:rPr>
          <w:rFonts w:cs="Times New Roman"/>
          <w:szCs w:val="18"/>
        </w:rPr>
      </w:pPr>
      <w:r w:rsidRPr="00E66D57">
        <w:rPr>
          <w:rFonts w:cs="Times New Roman"/>
          <w:b/>
          <w:szCs w:val="18"/>
        </w:rPr>
        <w:t>Timeline for Election to Participate</w:t>
      </w:r>
      <w:r w:rsidRPr="00E66D57">
        <w:rPr>
          <w:rFonts w:cs="Times New Roman"/>
          <w:szCs w:val="18"/>
        </w:rPr>
        <w:t xml:space="preserve"> </w:t>
      </w:r>
      <w:r w:rsidR="005C0AA6" w:rsidRPr="00E66D57">
        <w:rPr>
          <w:rFonts w:cs="Times New Roman"/>
          <w:b/>
          <w:szCs w:val="18"/>
        </w:rPr>
        <w:t>For Part D</w:t>
      </w:r>
      <w:r w:rsidRPr="00E66D57">
        <w:rPr>
          <w:rFonts w:cs="Times New Roman"/>
          <w:b/>
          <w:szCs w:val="18"/>
        </w:rPr>
        <w:t xml:space="preserve"> Issues</w:t>
      </w:r>
      <w:r w:rsidRPr="00E66D57">
        <w:rPr>
          <w:rFonts w:cs="Times New Roman"/>
          <w:szCs w:val="18"/>
        </w:rPr>
        <w:t xml:space="preserve">: CMS, the IRE or the Part D plan sponsor, </w:t>
      </w:r>
    </w:p>
    <w:p w:rsidR="001C267C" w:rsidRPr="00E66D57" w:rsidRDefault="001C267C" w:rsidP="001C267C">
      <w:pPr>
        <w:pStyle w:val="ListParagraph"/>
        <w:widowControl w:val="0"/>
        <w:numPr>
          <w:ilvl w:val="0"/>
          <w:numId w:val="7"/>
        </w:numPr>
        <w:autoSpaceDE w:val="0"/>
        <w:autoSpaceDN w:val="0"/>
        <w:adjustRightInd w:val="0"/>
        <w:rPr>
          <w:rFonts w:cs="Times New Roman"/>
          <w:b/>
          <w:szCs w:val="18"/>
        </w:rPr>
      </w:pPr>
      <w:r w:rsidRPr="00E66D57">
        <w:rPr>
          <w:rFonts w:cs="Times New Roman"/>
          <w:szCs w:val="18"/>
        </w:rPr>
        <w:t>Must</w:t>
      </w:r>
      <w:r w:rsidR="005C0AA6" w:rsidRPr="00E66D57">
        <w:rPr>
          <w:rFonts w:cs="Times New Roman"/>
          <w:szCs w:val="18"/>
        </w:rPr>
        <w:t xml:space="preserve"> request to participate in an appeal within 30 calendar days after notification that a standard request for a hearing was filed or</w:t>
      </w:r>
    </w:p>
    <w:p w:rsidR="005C0AA6" w:rsidRPr="002268B8" w:rsidRDefault="001C267C" w:rsidP="001C267C">
      <w:pPr>
        <w:pStyle w:val="ListParagraph"/>
        <w:widowControl w:val="0"/>
        <w:numPr>
          <w:ilvl w:val="0"/>
          <w:numId w:val="7"/>
        </w:numPr>
        <w:autoSpaceDE w:val="0"/>
        <w:autoSpaceDN w:val="0"/>
        <w:adjustRightInd w:val="0"/>
        <w:rPr>
          <w:rFonts w:cs="Times New Roman"/>
          <w:szCs w:val="18"/>
        </w:rPr>
      </w:pPr>
      <w:r w:rsidRPr="00E66D57">
        <w:rPr>
          <w:rFonts w:cs="Times New Roman"/>
          <w:szCs w:val="18"/>
        </w:rPr>
        <w:t xml:space="preserve">Must request to participate in an appeal </w:t>
      </w:r>
      <w:r w:rsidR="005C0AA6" w:rsidRPr="002268B8">
        <w:rPr>
          <w:rFonts w:cs="Times New Roman"/>
          <w:szCs w:val="18"/>
        </w:rPr>
        <w:t xml:space="preserve">within 2 calendar days if an expedited request was filed. </w:t>
      </w:r>
    </w:p>
    <w:p w:rsidR="00BF7108" w:rsidRPr="00E66D57" w:rsidRDefault="00BF7108" w:rsidP="005C0AA6">
      <w:pPr>
        <w:widowControl w:val="0"/>
        <w:autoSpaceDE w:val="0"/>
        <w:autoSpaceDN w:val="0"/>
        <w:adjustRightInd w:val="0"/>
        <w:rPr>
          <w:rFonts w:cs="Times New Roman"/>
          <w:szCs w:val="18"/>
        </w:rPr>
      </w:pPr>
    </w:p>
    <w:p w:rsidR="00BF7108" w:rsidRPr="00E66D57" w:rsidRDefault="00DF0ED5" w:rsidP="00D84CC8">
      <w:pPr>
        <w:widowControl w:val="0"/>
        <w:autoSpaceDE w:val="0"/>
        <w:autoSpaceDN w:val="0"/>
        <w:adjustRightInd w:val="0"/>
        <w:rPr>
          <w:rFonts w:cs="Times New Roman"/>
          <w:b/>
          <w:szCs w:val="18"/>
        </w:rPr>
      </w:pPr>
      <w:r w:rsidRPr="00E66D57">
        <w:rPr>
          <w:rFonts w:cs="Times New Roman"/>
          <w:b/>
          <w:szCs w:val="18"/>
        </w:rPr>
        <w:t>Timeline for Submission of Position Paper or Written Testimony</w:t>
      </w:r>
      <w:r w:rsidR="00AD2ED7" w:rsidRPr="00E66D57">
        <w:rPr>
          <w:rFonts w:cs="Times New Roman"/>
          <w:b/>
          <w:szCs w:val="18"/>
        </w:rPr>
        <w:t xml:space="preserve">: </w:t>
      </w:r>
    </w:p>
    <w:p w:rsidR="00DF0ED5" w:rsidRPr="00E66D57" w:rsidRDefault="00CE1DE5" w:rsidP="00D84CC8">
      <w:pPr>
        <w:widowControl w:val="0"/>
        <w:autoSpaceDE w:val="0"/>
        <w:autoSpaceDN w:val="0"/>
        <w:adjustRightInd w:val="0"/>
        <w:rPr>
          <w:rFonts w:cs="Times New Roman"/>
          <w:szCs w:val="18"/>
        </w:rPr>
      </w:pPr>
      <w:r w:rsidRPr="00E66D57">
        <w:rPr>
          <w:rFonts w:cs="Times New Roman"/>
          <w:szCs w:val="18"/>
        </w:rPr>
        <w:t xml:space="preserve">A position paper or written testimony from </w:t>
      </w:r>
      <w:r w:rsidR="00F17DC9" w:rsidRPr="00E66D57">
        <w:rPr>
          <w:rFonts w:cs="Times New Roman"/>
          <w:szCs w:val="18"/>
        </w:rPr>
        <w:t xml:space="preserve">CMS </w:t>
      </w:r>
      <w:r w:rsidRPr="00E66D57">
        <w:rPr>
          <w:rFonts w:cs="Times New Roman"/>
          <w:szCs w:val="18"/>
        </w:rPr>
        <w:t>or i</w:t>
      </w:r>
      <w:r w:rsidR="00EC1C1D" w:rsidRPr="00E66D57">
        <w:rPr>
          <w:rFonts w:cs="Times New Roman"/>
          <w:szCs w:val="18"/>
        </w:rPr>
        <w:t>ts contractor must be submitted, unless the ALJ or attorney adjudicator grants additional time</w:t>
      </w:r>
    </w:p>
    <w:p w:rsidR="00DF0ED5" w:rsidRPr="00E66D57" w:rsidRDefault="00AD2ED7" w:rsidP="00DF0ED5">
      <w:pPr>
        <w:pStyle w:val="ListParagraph"/>
        <w:widowControl w:val="0"/>
        <w:numPr>
          <w:ilvl w:val="0"/>
          <w:numId w:val="8"/>
        </w:numPr>
        <w:autoSpaceDE w:val="0"/>
        <w:autoSpaceDN w:val="0"/>
        <w:adjustRightInd w:val="0"/>
        <w:rPr>
          <w:rFonts w:cs="Times New Roman"/>
          <w:szCs w:val="18"/>
        </w:rPr>
      </w:pPr>
      <w:r w:rsidRPr="00E66D57">
        <w:rPr>
          <w:rFonts w:cs="Times New Roman"/>
          <w:szCs w:val="18"/>
        </w:rPr>
        <w:t>W</w:t>
      </w:r>
      <w:r w:rsidR="00CE1DE5" w:rsidRPr="00E66D57">
        <w:rPr>
          <w:rFonts w:cs="Times New Roman"/>
          <w:szCs w:val="18"/>
        </w:rPr>
        <w:t xml:space="preserve">ithin 14 days of an election to participate if no hearing has been scheduled or </w:t>
      </w:r>
    </w:p>
    <w:p w:rsidR="00EC1C1D" w:rsidRPr="00E66D57" w:rsidRDefault="00AD2ED7" w:rsidP="00DF0ED5">
      <w:pPr>
        <w:pStyle w:val="ListParagraph"/>
        <w:widowControl w:val="0"/>
        <w:numPr>
          <w:ilvl w:val="0"/>
          <w:numId w:val="8"/>
        </w:numPr>
        <w:autoSpaceDE w:val="0"/>
        <w:autoSpaceDN w:val="0"/>
        <w:adjustRightInd w:val="0"/>
        <w:rPr>
          <w:rFonts w:cs="Times New Roman"/>
          <w:szCs w:val="18"/>
        </w:rPr>
      </w:pPr>
      <w:r w:rsidRPr="00E66D57">
        <w:rPr>
          <w:rFonts w:cs="Times New Roman"/>
          <w:szCs w:val="18"/>
        </w:rPr>
        <w:t>N</w:t>
      </w:r>
      <w:r w:rsidR="00CE1DE5" w:rsidRPr="00E66D57">
        <w:rPr>
          <w:rFonts w:cs="Times New Roman"/>
          <w:szCs w:val="18"/>
        </w:rPr>
        <w:t>o later than 5 calendar days prior to the scheduled hearing</w:t>
      </w:r>
      <w:r w:rsidR="00EC1C1D" w:rsidRPr="00E66D57">
        <w:rPr>
          <w:rFonts w:cs="Times New Roman"/>
          <w:szCs w:val="18"/>
        </w:rPr>
        <w:t>.</w:t>
      </w:r>
    </w:p>
    <w:p w:rsidR="00AD2ED7" w:rsidRPr="00E66D57" w:rsidRDefault="003B36CC" w:rsidP="00EC1C1D">
      <w:pPr>
        <w:pStyle w:val="ListParagraph"/>
        <w:widowControl w:val="0"/>
        <w:autoSpaceDE w:val="0"/>
        <w:autoSpaceDN w:val="0"/>
        <w:adjustRightInd w:val="0"/>
        <w:rPr>
          <w:rFonts w:cs="Times New Roman"/>
          <w:szCs w:val="18"/>
        </w:rPr>
      </w:pPr>
      <w:r w:rsidRPr="00E66D57">
        <w:rPr>
          <w:rFonts w:cs="Times New Roman"/>
          <w:szCs w:val="18"/>
        </w:rPr>
        <w:t xml:space="preserve"> </w:t>
      </w:r>
    </w:p>
    <w:p w:rsidR="00EC1C1D" w:rsidRPr="00E66D57" w:rsidRDefault="00A33CAB" w:rsidP="00EC1C1D">
      <w:pPr>
        <w:rPr>
          <w:rFonts w:cs="Times New Roman"/>
          <w:szCs w:val="18"/>
        </w:rPr>
      </w:pPr>
      <w:r w:rsidRPr="00E66D57">
        <w:rPr>
          <w:rFonts w:cs="Times New Roman"/>
          <w:szCs w:val="18"/>
        </w:rPr>
        <w:t xml:space="preserve">If an expedited Part D hearing is requested, CMS, the IRE </w:t>
      </w:r>
      <w:r w:rsidR="00EC1C1D" w:rsidRPr="00E66D57">
        <w:rPr>
          <w:rFonts w:cs="Times New Roman"/>
          <w:szCs w:val="18"/>
        </w:rPr>
        <w:t xml:space="preserve">and/or the Part D plan sponsor must submit </w:t>
      </w:r>
      <w:r w:rsidRPr="00E66D57">
        <w:rPr>
          <w:rFonts w:cs="Times New Roman"/>
          <w:szCs w:val="18"/>
        </w:rPr>
        <w:t>the position papers and written testimony</w:t>
      </w:r>
      <w:r w:rsidR="00EC1C1D" w:rsidRPr="00E66D57">
        <w:rPr>
          <w:rFonts w:cs="Times New Roman"/>
          <w:szCs w:val="18"/>
        </w:rPr>
        <w:t>:</w:t>
      </w:r>
    </w:p>
    <w:p w:rsidR="00EC1C1D" w:rsidRPr="00E66D57" w:rsidRDefault="00EC1C1D" w:rsidP="00EC1C1D">
      <w:pPr>
        <w:pStyle w:val="ListParagraph"/>
        <w:widowControl w:val="0"/>
        <w:numPr>
          <w:ilvl w:val="0"/>
          <w:numId w:val="8"/>
        </w:numPr>
        <w:autoSpaceDE w:val="0"/>
        <w:autoSpaceDN w:val="0"/>
        <w:adjustRightInd w:val="0"/>
        <w:rPr>
          <w:rFonts w:cs="Times New Roman"/>
          <w:szCs w:val="18"/>
        </w:rPr>
      </w:pPr>
      <w:r w:rsidRPr="00E66D57">
        <w:rPr>
          <w:rFonts w:cs="Times New Roman"/>
          <w:szCs w:val="18"/>
        </w:rPr>
        <w:t xml:space="preserve">Within 14 days of an election to participate if no hearing has been scheduled or </w:t>
      </w:r>
    </w:p>
    <w:p w:rsidR="00EC1C1D" w:rsidRPr="00E66D57" w:rsidRDefault="00EC1C1D" w:rsidP="00EC1C1D">
      <w:pPr>
        <w:pStyle w:val="ListParagraph"/>
        <w:widowControl w:val="0"/>
        <w:numPr>
          <w:ilvl w:val="0"/>
          <w:numId w:val="8"/>
        </w:numPr>
        <w:autoSpaceDE w:val="0"/>
        <w:autoSpaceDN w:val="0"/>
        <w:adjustRightInd w:val="0"/>
        <w:rPr>
          <w:rFonts w:cs="Times New Roman"/>
          <w:szCs w:val="18"/>
        </w:rPr>
      </w:pPr>
      <w:r w:rsidRPr="00E66D57">
        <w:rPr>
          <w:rFonts w:cs="Times New Roman"/>
          <w:szCs w:val="18"/>
        </w:rPr>
        <w:t>No later than 5 calendar days prior to the scheduled hearing.</w:t>
      </w:r>
    </w:p>
    <w:p w:rsidR="00EC1C1D" w:rsidRPr="00E66D57" w:rsidRDefault="00EC1C1D" w:rsidP="00EC1C1D">
      <w:pPr>
        <w:pStyle w:val="ListParagraph"/>
        <w:widowControl w:val="0"/>
        <w:numPr>
          <w:ilvl w:val="0"/>
          <w:numId w:val="8"/>
        </w:numPr>
        <w:autoSpaceDE w:val="0"/>
        <w:autoSpaceDN w:val="0"/>
        <w:adjustRightInd w:val="0"/>
        <w:rPr>
          <w:rFonts w:cs="Times New Roman"/>
          <w:szCs w:val="18"/>
        </w:rPr>
      </w:pPr>
      <w:r w:rsidRPr="00E66D57">
        <w:rPr>
          <w:rFonts w:cs="Times New Roman"/>
          <w:szCs w:val="18"/>
        </w:rPr>
        <w:t>For Part D expedited hearings</w:t>
      </w:r>
    </w:p>
    <w:p w:rsidR="00EC1C1D" w:rsidRPr="00E66D57" w:rsidRDefault="00EC1C1D" w:rsidP="00EC1C1D">
      <w:pPr>
        <w:pStyle w:val="ListParagraph"/>
        <w:widowControl w:val="0"/>
        <w:numPr>
          <w:ilvl w:val="1"/>
          <w:numId w:val="8"/>
        </w:numPr>
        <w:autoSpaceDE w:val="0"/>
        <w:autoSpaceDN w:val="0"/>
        <w:adjustRightInd w:val="0"/>
        <w:rPr>
          <w:rFonts w:cs="Times New Roman"/>
          <w:szCs w:val="18"/>
        </w:rPr>
      </w:pPr>
      <w:r w:rsidRPr="00E66D57">
        <w:rPr>
          <w:rFonts w:cs="Times New Roman"/>
          <w:szCs w:val="18"/>
        </w:rPr>
        <w:t>N</w:t>
      </w:r>
      <w:r w:rsidR="00A33CAB" w:rsidRPr="00E66D57">
        <w:rPr>
          <w:rFonts w:cs="Times New Roman"/>
          <w:szCs w:val="18"/>
        </w:rPr>
        <w:t xml:space="preserve">o later than 1 calendar day </w:t>
      </w:r>
      <w:r w:rsidRPr="00E66D57">
        <w:rPr>
          <w:rFonts w:cs="Times New Roman"/>
          <w:szCs w:val="18"/>
        </w:rPr>
        <w:t xml:space="preserve">after receipt of the ALJ’s or attorney adjudicator’s decision on a request to participate </w:t>
      </w:r>
      <w:r w:rsidR="00A33CAB" w:rsidRPr="00E66D57">
        <w:rPr>
          <w:rFonts w:cs="Times New Roman"/>
          <w:szCs w:val="18"/>
        </w:rPr>
        <w:t xml:space="preserve">prior to the expedited hearing (unless the ALJ grant additional time). </w:t>
      </w:r>
    </w:p>
    <w:p w:rsidR="00AD2ED7" w:rsidRPr="00E66D57" w:rsidRDefault="00EC1C1D" w:rsidP="00EC1C1D">
      <w:pPr>
        <w:pStyle w:val="ListParagraph"/>
        <w:widowControl w:val="0"/>
        <w:numPr>
          <w:ilvl w:val="1"/>
          <w:numId w:val="8"/>
        </w:numPr>
        <w:autoSpaceDE w:val="0"/>
        <w:autoSpaceDN w:val="0"/>
        <w:adjustRightInd w:val="0"/>
        <w:rPr>
          <w:rFonts w:cs="Times New Roman"/>
          <w:szCs w:val="18"/>
        </w:rPr>
      </w:pPr>
      <w:r w:rsidRPr="00E66D57">
        <w:rPr>
          <w:rFonts w:cs="Times New Roman"/>
          <w:szCs w:val="18"/>
        </w:rPr>
        <w:t>Or 1 calendar day prior to the expedited hearing</w:t>
      </w:r>
    </w:p>
    <w:p w:rsidR="00EC1C1D" w:rsidRPr="00E66D57" w:rsidRDefault="00EC1C1D" w:rsidP="00D84CC8">
      <w:pPr>
        <w:widowControl w:val="0"/>
        <w:autoSpaceDE w:val="0"/>
        <w:autoSpaceDN w:val="0"/>
        <w:adjustRightInd w:val="0"/>
        <w:rPr>
          <w:rFonts w:cs="Times New Roman"/>
          <w:szCs w:val="18"/>
        </w:rPr>
      </w:pPr>
    </w:p>
    <w:p w:rsidR="007A2A90" w:rsidRPr="00E66D57" w:rsidRDefault="00EC1C1D" w:rsidP="00D84CC8">
      <w:pPr>
        <w:widowControl w:val="0"/>
        <w:autoSpaceDE w:val="0"/>
        <w:autoSpaceDN w:val="0"/>
        <w:adjustRightInd w:val="0"/>
        <w:rPr>
          <w:rFonts w:cs="Times New Roman"/>
          <w:szCs w:val="18"/>
        </w:rPr>
      </w:pPr>
      <w:r w:rsidRPr="00E66D57">
        <w:rPr>
          <w:rFonts w:cs="Times New Roman"/>
          <w:szCs w:val="18"/>
        </w:rPr>
        <w:t>If position papers and written testimony are not filed within the time</w:t>
      </w:r>
      <w:r w:rsidR="002268B8">
        <w:rPr>
          <w:rFonts w:cs="Times New Roman"/>
          <w:szCs w:val="18"/>
        </w:rPr>
        <w:t xml:space="preserve"> </w:t>
      </w:r>
      <w:r w:rsidRPr="00E66D57">
        <w:rPr>
          <w:rFonts w:cs="Times New Roman"/>
          <w:szCs w:val="18"/>
        </w:rPr>
        <w:t>frames, they will be excluded from consideration</w:t>
      </w:r>
      <w:r w:rsidR="007A2A90" w:rsidRPr="00E66D57">
        <w:rPr>
          <w:rFonts w:cs="Times New Roman"/>
          <w:szCs w:val="18"/>
        </w:rPr>
        <w:t xml:space="preserve">.  When CMS or its contractors file position paper or written testimony to OMHA, they must send a copy either to the parties who were sent a copy of the notice of reconsideration or to the parties who were sent a copy of the notice of hearing </w:t>
      </w:r>
    </w:p>
    <w:p w:rsidR="00106AE2" w:rsidRPr="00E66D57" w:rsidRDefault="00106AE2" w:rsidP="00D84CC8">
      <w:pPr>
        <w:widowControl w:val="0"/>
        <w:autoSpaceDE w:val="0"/>
        <w:autoSpaceDN w:val="0"/>
        <w:adjustRightInd w:val="0"/>
        <w:rPr>
          <w:rFonts w:cs="Times New Roman"/>
          <w:szCs w:val="18"/>
        </w:rPr>
      </w:pPr>
    </w:p>
    <w:p w:rsidR="003B36CC" w:rsidRPr="00E66D57" w:rsidRDefault="00106AE2" w:rsidP="00D84CC8">
      <w:pPr>
        <w:widowControl w:val="0"/>
        <w:autoSpaceDE w:val="0"/>
        <w:autoSpaceDN w:val="0"/>
        <w:adjustRightInd w:val="0"/>
        <w:rPr>
          <w:rFonts w:cs="Times New Roman"/>
          <w:szCs w:val="18"/>
        </w:rPr>
      </w:pPr>
      <w:r w:rsidRPr="00E66D57">
        <w:rPr>
          <w:rFonts w:cs="Times New Roman"/>
          <w:b/>
          <w:szCs w:val="18"/>
        </w:rPr>
        <w:t>Impact:</w:t>
      </w:r>
      <w:r w:rsidRPr="00E66D57">
        <w:rPr>
          <w:rFonts w:cs="Times New Roman"/>
          <w:szCs w:val="18"/>
        </w:rPr>
        <w:t xml:space="preserve">  OMHA believes limiting the number of entities that may elect to be a participant or to be a party to a hearing will make hearings easier to schedule and not take as long to conduct.  </w:t>
      </w:r>
    </w:p>
    <w:p w:rsidR="005A0EEB" w:rsidRPr="00E66D57" w:rsidRDefault="005A0EEB" w:rsidP="00D84CC8">
      <w:pPr>
        <w:widowControl w:val="0"/>
        <w:autoSpaceDE w:val="0"/>
        <w:autoSpaceDN w:val="0"/>
        <w:adjustRightInd w:val="0"/>
        <w:rPr>
          <w:rFonts w:cs="Times New Roman"/>
          <w:szCs w:val="18"/>
        </w:rPr>
      </w:pPr>
    </w:p>
    <w:p w:rsidR="00D10596" w:rsidRPr="00E66D57" w:rsidRDefault="005A0EEB" w:rsidP="005A0EEB">
      <w:pPr>
        <w:widowControl w:val="0"/>
        <w:autoSpaceDE w:val="0"/>
        <w:autoSpaceDN w:val="0"/>
        <w:adjustRightInd w:val="0"/>
        <w:rPr>
          <w:rFonts w:cs="Times New Roman"/>
          <w:b/>
          <w:szCs w:val="18"/>
        </w:rPr>
      </w:pPr>
      <w:r w:rsidRPr="00E66D57">
        <w:rPr>
          <w:rFonts w:cs="Times New Roman"/>
          <w:b/>
          <w:szCs w:val="18"/>
        </w:rPr>
        <w:t xml:space="preserve">Requesting Information From the QIC or IRE, </w:t>
      </w:r>
      <w:r w:rsidR="00D74622">
        <w:rPr>
          <w:rFonts w:cs="Times New Roman"/>
          <w:b/>
          <w:szCs w:val="18"/>
        </w:rPr>
        <w:t>without</w:t>
      </w:r>
      <w:r w:rsidRPr="00E66D57">
        <w:rPr>
          <w:rFonts w:cs="Times New Roman"/>
          <w:b/>
          <w:szCs w:val="18"/>
        </w:rPr>
        <w:t xml:space="preserve"> Remanding an Appeal</w:t>
      </w:r>
    </w:p>
    <w:p w:rsidR="00D74622" w:rsidRDefault="00D10596" w:rsidP="00893756">
      <w:pPr>
        <w:widowControl w:val="0"/>
        <w:autoSpaceDE w:val="0"/>
        <w:autoSpaceDN w:val="0"/>
        <w:adjustRightInd w:val="0"/>
        <w:rPr>
          <w:rFonts w:cs="Times New Roman"/>
          <w:szCs w:val="18"/>
        </w:rPr>
      </w:pPr>
      <w:r w:rsidRPr="00E66D57">
        <w:rPr>
          <w:rFonts w:cs="Times New Roman"/>
          <w:szCs w:val="18"/>
        </w:rPr>
        <w:t xml:space="preserve"> If an ALJ or attorney adjudicator</w:t>
      </w:r>
      <w:r w:rsidR="00ED30D7" w:rsidRPr="00E66D57">
        <w:rPr>
          <w:rFonts w:cs="Times New Roman"/>
          <w:szCs w:val="18"/>
        </w:rPr>
        <w:t xml:space="preserve"> </w:t>
      </w:r>
      <w:r w:rsidRPr="00E66D57">
        <w:rPr>
          <w:rFonts w:cs="Times New Roman"/>
          <w:szCs w:val="18"/>
        </w:rPr>
        <w:t>bel</w:t>
      </w:r>
      <w:r w:rsidR="00ED30D7" w:rsidRPr="00E66D57">
        <w:rPr>
          <w:rFonts w:cs="Times New Roman"/>
          <w:szCs w:val="18"/>
        </w:rPr>
        <w:t xml:space="preserve">ieves that the written record is </w:t>
      </w:r>
      <w:r w:rsidRPr="00E66D57">
        <w:rPr>
          <w:rFonts w:cs="Times New Roman"/>
          <w:szCs w:val="18"/>
        </w:rPr>
        <w:t>missing information that is essential to</w:t>
      </w:r>
      <w:r w:rsidR="00ED30D7" w:rsidRPr="00E66D57">
        <w:rPr>
          <w:rFonts w:cs="Times New Roman"/>
          <w:szCs w:val="18"/>
        </w:rPr>
        <w:t xml:space="preserve"> </w:t>
      </w:r>
      <w:r w:rsidRPr="00E66D57">
        <w:rPr>
          <w:rFonts w:cs="Times New Roman"/>
          <w:szCs w:val="18"/>
        </w:rPr>
        <w:t>resolvi</w:t>
      </w:r>
      <w:r w:rsidR="00ED30D7" w:rsidRPr="00E66D57">
        <w:rPr>
          <w:rFonts w:cs="Times New Roman"/>
          <w:szCs w:val="18"/>
        </w:rPr>
        <w:t xml:space="preserve">ng the issues on appeal and that </w:t>
      </w:r>
      <w:r w:rsidRPr="00E66D57">
        <w:rPr>
          <w:rFonts w:cs="Times New Roman"/>
          <w:szCs w:val="18"/>
        </w:rPr>
        <w:t>information can be provided only by</w:t>
      </w:r>
      <w:r w:rsidR="00ED30D7" w:rsidRPr="00E66D57">
        <w:rPr>
          <w:rFonts w:cs="Times New Roman"/>
          <w:szCs w:val="18"/>
        </w:rPr>
        <w:t xml:space="preserve"> </w:t>
      </w:r>
      <w:r w:rsidRPr="00E66D57">
        <w:rPr>
          <w:rFonts w:cs="Times New Roman"/>
          <w:szCs w:val="18"/>
        </w:rPr>
        <w:t>CMS or its contractors, the information</w:t>
      </w:r>
      <w:r w:rsidR="00ED30D7" w:rsidRPr="00E66D57">
        <w:rPr>
          <w:rFonts w:cs="Times New Roman"/>
          <w:szCs w:val="18"/>
        </w:rPr>
        <w:t xml:space="preserve"> </w:t>
      </w:r>
      <w:r w:rsidRPr="00E66D57">
        <w:rPr>
          <w:rFonts w:cs="Times New Roman"/>
          <w:szCs w:val="18"/>
        </w:rPr>
        <w:t>may be requested from the QIC that</w:t>
      </w:r>
      <w:r w:rsidR="00ED30D7" w:rsidRPr="00E66D57">
        <w:rPr>
          <w:rFonts w:cs="Times New Roman"/>
          <w:szCs w:val="18"/>
        </w:rPr>
        <w:t xml:space="preserve"> </w:t>
      </w:r>
      <w:r w:rsidRPr="00E66D57">
        <w:rPr>
          <w:rFonts w:cs="Times New Roman"/>
          <w:szCs w:val="18"/>
        </w:rPr>
        <w:t>conducted the reconsid</w:t>
      </w:r>
      <w:r w:rsidR="00ED30D7" w:rsidRPr="00E66D57">
        <w:rPr>
          <w:rFonts w:cs="Times New Roman"/>
          <w:szCs w:val="18"/>
        </w:rPr>
        <w:t xml:space="preserve">eration. </w:t>
      </w:r>
      <w:r w:rsidR="00893756" w:rsidRPr="00E66D57">
        <w:rPr>
          <w:rFonts w:cs="Times New Roman"/>
          <w:szCs w:val="18"/>
        </w:rPr>
        <w:t>Previ</w:t>
      </w:r>
      <w:r w:rsidR="00D74622">
        <w:rPr>
          <w:rFonts w:cs="Times New Roman"/>
          <w:szCs w:val="18"/>
        </w:rPr>
        <w:t>ous to the final rule, the ALJ w</w:t>
      </w:r>
      <w:r w:rsidR="00893756" w:rsidRPr="00E66D57">
        <w:rPr>
          <w:rFonts w:cs="Times New Roman"/>
          <w:szCs w:val="18"/>
        </w:rPr>
        <w:t xml:space="preserve">ould remand the case to the QIC or the IRE. </w:t>
      </w:r>
    </w:p>
    <w:p w:rsidR="00D74622" w:rsidRDefault="00D74622" w:rsidP="00893756">
      <w:pPr>
        <w:widowControl w:val="0"/>
        <w:autoSpaceDE w:val="0"/>
        <w:autoSpaceDN w:val="0"/>
        <w:adjustRightInd w:val="0"/>
        <w:rPr>
          <w:rFonts w:cs="Times New Roman"/>
          <w:szCs w:val="18"/>
        </w:rPr>
      </w:pPr>
    </w:p>
    <w:p w:rsidR="00893756" w:rsidRPr="00E66D57" w:rsidRDefault="00893756" w:rsidP="00893756">
      <w:pPr>
        <w:widowControl w:val="0"/>
        <w:autoSpaceDE w:val="0"/>
        <w:autoSpaceDN w:val="0"/>
        <w:adjustRightInd w:val="0"/>
        <w:rPr>
          <w:rFonts w:cs="Times New Roman"/>
          <w:szCs w:val="18"/>
        </w:rPr>
      </w:pPr>
      <w:r w:rsidRPr="00E66D57">
        <w:rPr>
          <w:rFonts w:cs="Times New Roman"/>
          <w:szCs w:val="18"/>
        </w:rPr>
        <w:t>The QIC would have 15 calendar days after receiving the request for information to furnish the information or otherwise respond to the request for information, either directly or through CMS or another contractor. For expedited appeals, the IRE has 2 calendar days after receiving a request for information to furnish the information or otherwise respond to the request, and the extension to the adjudication time frame would be up to 3 calendar days, to allow for time to transmit the request to the IRE and for the IRE to respond.</w:t>
      </w:r>
    </w:p>
    <w:p w:rsidR="00893756" w:rsidRPr="00E66D57" w:rsidRDefault="00893756" w:rsidP="00D84CC8">
      <w:pPr>
        <w:widowControl w:val="0"/>
        <w:autoSpaceDE w:val="0"/>
        <w:autoSpaceDN w:val="0"/>
        <w:adjustRightInd w:val="0"/>
        <w:rPr>
          <w:rFonts w:cs="Times New Roman"/>
          <w:szCs w:val="18"/>
        </w:rPr>
      </w:pPr>
    </w:p>
    <w:p w:rsidR="00313491" w:rsidRPr="00E66D57" w:rsidRDefault="00893756" w:rsidP="00313491">
      <w:pPr>
        <w:widowControl w:val="0"/>
        <w:autoSpaceDE w:val="0"/>
        <w:autoSpaceDN w:val="0"/>
        <w:adjustRightInd w:val="0"/>
        <w:rPr>
          <w:rFonts w:cs="Times New Roman"/>
          <w:szCs w:val="18"/>
        </w:rPr>
      </w:pPr>
      <w:r w:rsidRPr="00E66D57">
        <w:rPr>
          <w:rFonts w:cs="Times New Roman"/>
          <w:szCs w:val="18"/>
        </w:rPr>
        <w:t xml:space="preserve">Under the final rule, the appeal will be </w:t>
      </w:r>
      <w:r w:rsidR="00313491" w:rsidRPr="00E66D57">
        <w:rPr>
          <w:rFonts w:cs="Times New Roman"/>
          <w:szCs w:val="18"/>
        </w:rPr>
        <w:t xml:space="preserve">remanded: </w:t>
      </w:r>
    </w:p>
    <w:p w:rsidR="00313491" w:rsidRPr="00E66D57" w:rsidRDefault="00893756" w:rsidP="00313491">
      <w:pPr>
        <w:pStyle w:val="ListParagraph"/>
        <w:widowControl w:val="0"/>
        <w:numPr>
          <w:ilvl w:val="0"/>
          <w:numId w:val="9"/>
        </w:numPr>
        <w:autoSpaceDE w:val="0"/>
        <w:autoSpaceDN w:val="0"/>
        <w:adjustRightInd w:val="0"/>
        <w:rPr>
          <w:rFonts w:cs="Times New Roman"/>
          <w:szCs w:val="18"/>
        </w:rPr>
      </w:pPr>
      <w:r w:rsidRPr="00E66D57">
        <w:rPr>
          <w:rFonts w:cs="Times New Roman"/>
          <w:szCs w:val="18"/>
        </w:rPr>
        <w:t xml:space="preserve">if the </w:t>
      </w:r>
      <w:r w:rsidR="002268B8">
        <w:rPr>
          <w:rFonts w:cs="Times New Roman"/>
          <w:szCs w:val="18"/>
        </w:rPr>
        <w:t xml:space="preserve">ALJ </w:t>
      </w:r>
      <w:r w:rsidRPr="00E66D57">
        <w:rPr>
          <w:rFonts w:cs="Times New Roman"/>
          <w:szCs w:val="18"/>
        </w:rPr>
        <w:t>or attorney adjudicator request</w:t>
      </w:r>
      <w:r w:rsidR="00313491" w:rsidRPr="00E66D57">
        <w:rPr>
          <w:rFonts w:cs="Times New Roman"/>
          <w:szCs w:val="18"/>
        </w:rPr>
        <w:t>s an official copy of a missing</w:t>
      </w:r>
      <w:r w:rsidRPr="00E66D57">
        <w:rPr>
          <w:rFonts w:cs="Times New Roman"/>
          <w:szCs w:val="18"/>
        </w:rPr>
        <w:t xml:space="preserve"> redetermination or reconsideration</w:t>
      </w:r>
      <w:r w:rsidR="00313491" w:rsidRPr="00E66D57">
        <w:rPr>
          <w:rFonts w:cs="Times New Roman"/>
          <w:szCs w:val="18"/>
        </w:rPr>
        <w:t xml:space="preserve"> and the QIC does not respond in a timely fashion</w:t>
      </w:r>
    </w:p>
    <w:p w:rsidR="00313491" w:rsidRPr="00E66D57" w:rsidRDefault="001C7B42" w:rsidP="00313491">
      <w:pPr>
        <w:pStyle w:val="ListParagraph"/>
        <w:widowControl w:val="0"/>
        <w:numPr>
          <w:ilvl w:val="1"/>
          <w:numId w:val="9"/>
        </w:numPr>
        <w:autoSpaceDE w:val="0"/>
        <w:autoSpaceDN w:val="0"/>
        <w:adjustRightInd w:val="0"/>
        <w:rPr>
          <w:rFonts w:cs="Times New Roman"/>
          <w:szCs w:val="18"/>
        </w:rPr>
      </w:pPr>
      <w:r w:rsidRPr="00E66D57">
        <w:rPr>
          <w:rFonts w:cs="Times New Roman"/>
          <w:szCs w:val="18"/>
        </w:rPr>
        <w:t xml:space="preserve">If the </w:t>
      </w:r>
      <w:r w:rsidR="00313491" w:rsidRPr="00E66D57">
        <w:rPr>
          <w:rFonts w:cs="Times New Roman"/>
          <w:szCs w:val="18"/>
        </w:rPr>
        <w:t>QIC</w:t>
      </w:r>
      <w:r w:rsidRPr="00E66D57">
        <w:rPr>
          <w:rFonts w:cs="Times New Roman"/>
          <w:szCs w:val="18"/>
        </w:rPr>
        <w:t>, IRE or Part D plan sponsor</w:t>
      </w:r>
      <w:r w:rsidR="00313491" w:rsidRPr="00E66D57">
        <w:rPr>
          <w:rFonts w:cs="Times New Roman"/>
          <w:szCs w:val="18"/>
        </w:rPr>
        <w:t xml:space="preserve"> or other contractor cannot reconstruct the record, the remand may direct the QIC to initiate a new appeal adjudication.</w:t>
      </w:r>
    </w:p>
    <w:p w:rsidR="00313491" w:rsidRPr="00E66D57" w:rsidRDefault="00313491" w:rsidP="00313491">
      <w:pPr>
        <w:pStyle w:val="ListParagraph"/>
        <w:widowControl w:val="0"/>
        <w:numPr>
          <w:ilvl w:val="0"/>
          <w:numId w:val="9"/>
        </w:numPr>
        <w:autoSpaceDE w:val="0"/>
        <w:autoSpaceDN w:val="0"/>
        <w:adjustRightInd w:val="0"/>
        <w:rPr>
          <w:rFonts w:cs="Times New Roman"/>
          <w:szCs w:val="18"/>
        </w:rPr>
      </w:pPr>
      <w:r w:rsidRPr="00E66D57">
        <w:rPr>
          <w:rFonts w:cs="Times New Roman"/>
          <w:szCs w:val="18"/>
        </w:rPr>
        <w:t>when the QIC</w:t>
      </w:r>
      <w:r w:rsidR="001C7B42" w:rsidRPr="00E66D57">
        <w:rPr>
          <w:rFonts w:cs="Times New Roman"/>
          <w:szCs w:val="18"/>
        </w:rPr>
        <w:t xml:space="preserve"> IRE or Part D plan sponsor</w:t>
      </w:r>
      <w:r w:rsidRPr="00E66D57">
        <w:rPr>
          <w:rFonts w:cs="Times New Roman"/>
          <w:szCs w:val="18"/>
        </w:rPr>
        <w:t xml:space="preserve"> does not furnish a case file for an appealed reconsideration.</w:t>
      </w:r>
    </w:p>
    <w:p w:rsidR="00893756" w:rsidRPr="00E66D57" w:rsidRDefault="00313491" w:rsidP="00313491">
      <w:pPr>
        <w:pStyle w:val="ListParagraph"/>
        <w:widowControl w:val="0"/>
        <w:numPr>
          <w:ilvl w:val="1"/>
          <w:numId w:val="9"/>
        </w:numPr>
        <w:autoSpaceDE w:val="0"/>
        <w:autoSpaceDN w:val="0"/>
        <w:adjustRightInd w:val="0"/>
        <w:rPr>
          <w:rFonts w:cs="Times New Roman"/>
          <w:szCs w:val="18"/>
        </w:rPr>
      </w:pPr>
      <w:r w:rsidRPr="00E66D57">
        <w:rPr>
          <w:rFonts w:cs="Times New Roman"/>
          <w:szCs w:val="18"/>
        </w:rPr>
        <w:t>CMS expects this type of remand to be very rare.</w:t>
      </w:r>
    </w:p>
    <w:p w:rsidR="001C7B42" w:rsidRPr="00E66D57" w:rsidRDefault="001C7B42" w:rsidP="00313491">
      <w:pPr>
        <w:widowControl w:val="0"/>
        <w:autoSpaceDE w:val="0"/>
        <w:autoSpaceDN w:val="0"/>
        <w:adjustRightInd w:val="0"/>
        <w:rPr>
          <w:rFonts w:cs="Times New Roman"/>
          <w:szCs w:val="18"/>
        </w:rPr>
      </w:pPr>
    </w:p>
    <w:p w:rsidR="00313491" w:rsidRPr="00E66D57" w:rsidRDefault="001C7B42" w:rsidP="00313491">
      <w:pPr>
        <w:widowControl w:val="0"/>
        <w:autoSpaceDE w:val="0"/>
        <w:autoSpaceDN w:val="0"/>
        <w:adjustRightInd w:val="0"/>
        <w:rPr>
          <w:rFonts w:cs="Times New Roman"/>
          <w:szCs w:val="18"/>
        </w:rPr>
      </w:pPr>
      <w:r w:rsidRPr="00E66D57">
        <w:rPr>
          <w:rFonts w:cs="Times New Roman"/>
          <w:szCs w:val="18"/>
        </w:rPr>
        <w:t>W</w:t>
      </w:r>
      <w:r w:rsidR="00313491" w:rsidRPr="00E66D57">
        <w:rPr>
          <w:rFonts w:cs="Times New Roman"/>
          <w:szCs w:val="18"/>
        </w:rPr>
        <w:t>here a</w:t>
      </w:r>
      <w:r w:rsidRPr="00E66D57">
        <w:rPr>
          <w:rFonts w:cs="Times New Roman"/>
          <w:szCs w:val="18"/>
        </w:rPr>
        <w:t xml:space="preserve"> </w:t>
      </w:r>
      <w:r w:rsidR="00313491" w:rsidRPr="00E66D57">
        <w:rPr>
          <w:rFonts w:cs="Times New Roman"/>
          <w:szCs w:val="18"/>
        </w:rPr>
        <w:t>record is reconstructed by the QIC</w:t>
      </w:r>
      <w:r w:rsidRPr="00E66D57">
        <w:rPr>
          <w:rFonts w:cs="Times New Roman"/>
          <w:szCs w:val="18"/>
        </w:rPr>
        <w:t>, IRE or Part D plan sponsor</w:t>
      </w:r>
      <w:r w:rsidR="00313491" w:rsidRPr="00E66D57">
        <w:rPr>
          <w:rFonts w:cs="Times New Roman"/>
          <w:szCs w:val="18"/>
        </w:rPr>
        <w:t>, the</w:t>
      </w:r>
      <w:r w:rsidRPr="00E66D57">
        <w:rPr>
          <w:rFonts w:cs="Times New Roman"/>
          <w:szCs w:val="18"/>
        </w:rPr>
        <w:t xml:space="preserve"> r</w:t>
      </w:r>
      <w:r w:rsidR="00313491" w:rsidRPr="00E66D57">
        <w:rPr>
          <w:rFonts w:cs="Times New Roman"/>
          <w:szCs w:val="18"/>
        </w:rPr>
        <w:t>econstructed record would be returned</w:t>
      </w:r>
      <w:r w:rsidRPr="00E66D57">
        <w:rPr>
          <w:rFonts w:cs="Times New Roman"/>
          <w:szCs w:val="18"/>
        </w:rPr>
        <w:t xml:space="preserve"> </w:t>
      </w:r>
      <w:r w:rsidR="00313491" w:rsidRPr="00E66D57">
        <w:rPr>
          <w:rFonts w:cs="Times New Roman"/>
          <w:szCs w:val="18"/>
        </w:rPr>
        <w:t>to OMHA, the case would no longer be</w:t>
      </w:r>
      <w:r w:rsidRPr="00E66D57">
        <w:rPr>
          <w:rFonts w:cs="Times New Roman"/>
          <w:szCs w:val="18"/>
        </w:rPr>
        <w:t xml:space="preserve"> </w:t>
      </w:r>
      <w:r w:rsidR="00313491" w:rsidRPr="00E66D57">
        <w:rPr>
          <w:rFonts w:cs="Times New Roman"/>
          <w:szCs w:val="18"/>
        </w:rPr>
        <w:t>remanded and the reconsideration</w:t>
      </w:r>
      <w:r w:rsidRPr="00E66D57">
        <w:rPr>
          <w:rFonts w:cs="Times New Roman"/>
          <w:szCs w:val="18"/>
        </w:rPr>
        <w:t xml:space="preserve"> would no longer be vacated. If</w:t>
      </w:r>
      <w:r w:rsidR="00313491" w:rsidRPr="00E66D57">
        <w:rPr>
          <w:rFonts w:cs="Times New Roman"/>
          <w:szCs w:val="18"/>
        </w:rPr>
        <w:t xml:space="preserve"> an</w:t>
      </w:r>
      <w:r w:rsidRPr="00E66D57">
        <w:rPr>
          <w:rFonts w:cs="Times New Roman"/>
          <w:szCs w:val="18"/>
        </w:rPr>
        <w:t xml:space="preserve"> </w:t>
      </w:r>
      <w:r w:rsidR="00313491" w:rsidRPr="00E66D57">
        <w:rPr>
          <w:rFonts w:cs="Times New Roman"/>
          <w:szCs w:val="18"/>
        </w:rPr>
        <w:t>adjudication period applies to the case,</w:t>
      </w:r>
      <w:r w:rsidRPr="00E66D57">
        <w:rPr>
          <w:rFonts w:cs="Times New Roman"/>
          <w:szCs w:val="18"/>
        </w:rPr>
        <w:t xml:space="preserve"> </w:t>
      </w:r>
      <w:r w:rsidR="00313491" w:rsidRPr="00E66D57">
        <w:rPr>
          <w:rFonts w:cs="Times New Roman"/>
          <w:szCs w:val="18"/>
        </w:rPr>
        <w:t>the period would be extended by the</w:t>
      </w:r>
      <w:r w:rsidRPr="00E66D57">
        <w:rPr>
          <w:rFonts w:cs="Times New Roman"/>
          <w:szCs w:val="18"/>
        </w:rPr>
        <w:t xml:space="preserve"> </w:t>
      </w:r>
      <w:r w:rsidR="00313491" w:rsidRPr="00E66D57">
        <w:rPr>
          <w:rFonts w:cs="Times New Roman"/>
          <w:szCs w:val="18"/>
        </w:rPr>
        <w:t>time between the date of the remand</w:t>
      </w:r>
      <w:r w:rsidRPr="00E66D57">
        <w:rPr>
          <w:rFonts w:cs="Times New Roman"/>
          <w:szCs w:val="18"/>
        </w:rPr>
        <w:t xml:space="preserve"> </w:t>
      </w:r>
      <w:r w:rsidR="00313491" w:rsidRPr="00E66D57">
        <w:rPr>
          <w:rFonts w:cs="Times New Roman"/>
          <w:szCs w:val="18"/>
        </w:rPr>
        <w:t>and the date the case is returned to</w:t>
      </w:r>
      <w:r w:rsidRPr="00E66D57">
        <w:rPr>
          <w:rFonts w:cs="Times New Roman"/>
          <w:szCs w:val="18"/>
        </w:rPr>
        <w:t xml:space="preserve"> OMHA. </w:t>
      </w:r>
    </w:p>
    <w:p w:rsidR="00313491" w:rsidRPr="00E66D57" w:rsidRDefault="00313491" w:rsidP="00313491">
      <w:pPr>
        <w:widowControl w:val="0"/>
        <w:autoSpaceDE w:val="0"/>
        <w:autoSpaceDN w:val="0"/>
        <w:adjustRightInd w:val="0"/>
        <w:rPr>
          <w:rFonts w:cs="Times New Roman"/>
          <w:szCs w:val="18"/>
        </w:rPr>
      </w:pPr>
    </w:p>
    <w:p w:rsidR="001C7B42" w:rsidRPr="00E66D57" w:rsidRDefault="00D74622" w:rsidP="00313491">
      <w:pPr>
        <w:widowControl w:val="0"/>
        <w:autoSpaceDE w:val="0"/>
        <w:autoSpaceDN w:val="0"/>
        <w:adjustRightInd w:val="0"/>
        <w:rPr>
          <w:rFonts w:ascii="Times New Roman" w:hAnsi="Times New Roman" w:cs="Times New Roman"/>
          <w:szCs w:val="18"/>
        </w:rPr>
      </w:pPr>
      <w:r w:rsidRPr="00D74622">
        <w:rPr>
          <w:rFonts w:cs="Times New Roman"/>
          <w:b/>
          <w:szCs w:val="18"/>
        </w:rPr>
        <w:t>Request for Remand to the QIC for Resolution:</w:t>
      </w:r>
      <w:r>
        <w:rPr>
          <w:rFonts w:cs="Times New Roman"/>
          <w:szCs w:val="18"/>
        </w:rPr>
        <w:t xml:space="preserve"> </w:t>
      </w:r>
      <w:r w:rsidR="001C7B42" w:rsidRPr="00E66D57">
        <w:rPr>
          <w:rFonts w:cs="Times New Roman"/>
          <w:szCs w:val="18"/>
        </w:rPr>
        <w:t>A</w:t>
      </w:r>
      <w:r w:rsidR="00313491" w:rsidRPr="00E66D57">
        <w:rPr>
          <w:rFonts w:cs="Times New Roman"/>
          <w:szCs w:val="18"/>
        </w:rPr>
        <w:t>t any time prior to an ALJ or attorney</w:t>
      </w:r>
      <w:r w:rsidR="001C7B42" w:rsidRPr="00E66D57">
        <w:rPr>
          <w:rFonts w:cs="Times New Roman"/>
          <w:szCs w:val="18"/>
        </w:rPr>
        <w:t xml:space="preserve"> </w:t>
      </w:r>
      <w:r w:rsidR="00313491" w:rsidRPr="00E66D57">
        <w:rPr>
          <w:rFonts w:cs="Times New Roman"/>
          <w:szCs w:val="18"/>
        </w:rPr>
        <w:t>adjudicator issuing a decision or</w:t>
      </w:r>
      <w:r w:rsidR="001C7B42" w:rsidRPr="00E66D57">
        <w:rPr>
          <w:rFonts w:cs="Times New Roman"/>
          <w:szCs w:val="18"/>
        </w:rPr>
        <w:t xml:space="preserve"> </w:t>
      </w:r>
      <w:r w:rsidR="00313491" w:rsidRPr="00E66D57">
        <w:rPr>
          <w:rFonts w:cs="Times New Roman"/>
          <w:szCs w:val="18"/>
        </w:rPr>
        <w:t>dismissal, the appellant and CMS or one</w:t>
      </w:r>
      <w:r w:rsidR="001C7B42" w:rsidRPr="00E66D57">
        <w:rPr>
          <w:rFonts w:cs="Times New Roman"/>
          <w:szCs w:val="18"/>
        </w:rPr>
        <w:t xml:space="preserve"> </w:t>
      </w:r>
      <w:r w:rsidR="00313491" w:rsidRPr="00E66D57">
        <w:rPr>
          <w:rFonts w:cs="Times New Roman"/>
          <w:szCs w:val="18"/>
        </w:rPr>
        <w:t>of its contractors, may jointly request a</w:t>
      </w:r>
      <w:r w:rsidR="001C7B42" w:rsidRPr="00E66D57">
        <w:rPr>
          <w:rFonts w:cs="Times New Roman"/>
          <w:szCs w:val="18"/>
        </w:rPr>
        <w:t xml:space="preserve"> </w:t>
      </w:r>
      <w:r w:rsidR="00313491" w:rsidRPr="00E66D57">
        <w:rPr>
          <w:rFonts w:cs="Times New Roman"/>
          <w:szCs w:val="18"/>
        </w:rPr>
        <w:t xml:space="preserve">remand </w:t>
      </w:r>
      <w:r w:rsidR="001C7B42" w:rsidRPr="00E66D57">
        <w:rPr>
          <w:rFonts w:cs="Times New Roman"/>
          <w:szCs w:val="18"/>
        </w:rPr>
        <w:t xml:space="preserve">of the appeal to the entity that </w:t>
      </w:r>
      <w:r w:rsidR="00313491" w:rsidRPr="00E66D57">
        <w:rPr>
          <w:rFonts w:cs="Times New Roman"/>
          <w:szCs w:val="18"/>
        </w:rPr>
        <w:t>conducted the reconsideration</w:t>
      </w:r>
      <w:r w:rsidR="001C7B42" w:rsidRPr="00E66D57">
        <w:rPr>
          <w:rFonts w:cs="Times New Roman"/>
          <w:szCs w:val="18"/>
        </w:rPr>
        <w:t xml:space="preserve"> because the matter can be resolved by a CMS contractor if jurisdiction of the claim is returned to the QIC or IRE</w:t>
      </w:r>
      <w:r w:rsidR="00313491" w:rsidRPr="00E66D57">
        <w:rPr>
          <w:rFonts w:cs="Times New Roman"/>
          <w:szCs w:val="18"/>
        </w:rPr>
        <w:t xml:space="preserve">. </w:t>
      </w:r>
      <w:r w:rsidR="001C7B42" w:rsidRPr="00E66D57">
        <w:rPr>
          <w:rFonts w:cs="Times New Roman"/>
          <w:szCs w:val="18"/>
        </w:rPr>
        <w:t>T</w:t>
      </w:r>
      <w:r w:rsidR="00313491" w:rsidRPr="00E66D57">
        <w:rPr>
          <w:rFonts w:cs="Times New Roman"/>
          <w:szCs w:val="18"/>
        </w:rPr>
        <w:t xml:space="preserve">he request </w:t>
      </w:r>
      <w:r w:rsidR="001C7B42" w:rsidRPr="00E66D57">
        <w:rPr>
          <w:rFonts w:cs="Times New Roman"/>
          <w:szCs w:val="18"/>
        </w:rPr>
        <w:t xml:space="preserve">must </w:t>
      </w:r>
      <w:r w:rsidR="00313491" w:rsidRPr="00E66D57">
        <w:rPr>
          <w:rFonts w:cs="Times New Roman"/>
          <w:szCs w:val="18"/>
        </w:rPr>
        <w:t>include the</w:t>
      </w:r>
      <w:r w:rsidR="001C7B42" w:rsidRPr="00E66D57">
        <w:rPr>
          <w:rFonts w:cs="Times New Roman"/>
          <w:szCs w:val="18"/>
        </w:rPr>
        <w:t xml:space="preserve"> </w:t>
      </w:r>
      <w:r w:rsidR="00313491" w:rsidRPr="00E66D57">
        <w:rPr>
          <w:rFonts w:cs="Times New Roman"/>
          <w:szCs w:val="18"/>
        </w:rPr>
        <w:t>reasons why the appeal should be</w:t>
      </w:r>
      <w:r w:rsidR="001C7B42" w:rsidRPr="00E66D57">
        <w:rPr>
          <w:rFonts w:cs="Times New Roman"/>
          <w:szCs w:val="18"/>
        </w:rPr>
        <w:t xml:space="preserve"> remanded and indicate whether </w:t>
      </w:r>
      <w:r w:rsidR="00313491" w:rsidRPr="00E66D57">
        <w:rPr>
          <w:rFonts w:cs="Times New Roman"/>
          <w:szCs w:val="18"/>
        </w:rPr>
        <w:t>remanding the case would likely resolve</w:t>
      </w:r>
      <w:r w:rsidR="001C7B42" w:rsidRPr="00E66D57">
        <w:rPr>
          <w:rFonts w:cs="Times New Roman"/>
          <w:szCs w:val="18"/>
        </w:rPr>
        <w:t xml:space="preserve"> </w:t>
      </w:r>
      <w:r w:rsidR="00313491" w:rsidRPr="00E66D57">
        <w:rPr>
          <w:rFonts w:cs="Times New Roman"/>
          <w:szCs w:val="18"/>
        </w:rPr>
        <w:t>the matter in dispute</w:t>
      </w:r>
      <w:r w:rsidR="001C7B42" w:rsidRPr="00E66D57">
        <w:rPr>
          <w:rFonts w:cs="Times New Roman"/>
          <w:szCs w:val="18"/>
        </w:rPr>
        <w:t xml:space="preserve">. An ALJ or attorney adjudicator may remand the case if resolution is likely. </w:t>
      </w:r>
      <w:r w:rsidR="001C7B42" w:rsidRPr="00E66D57">
        <w:rPr>
          <w:rFonts w:cs="Times New Roman"/>
          <w:szCs w:val="18"/>
        </w:rPr>
        <w:tab/>
      </w:r>
    </w:p>
    <w:p w:rsidR="0031194C" w:rsidRPr="00E66D57" w:rsidRDefault="0031194C" w:rsidP="00313491">
      <w:pPr>
        <w:widowControl w:val="0"/>
        <w:autoSpaceDE w:val="0"/>
        <w:autoSpaceDN w:val="0"/>
        <w:adjustRightInd w:val="0"/>
        <w:rPr>
          <w:rFonts w:cs="Times New Roman"/>
          <w:szCs w:val="18"/>
        </w:rPr>
      </w:pPr>
    </w:p>
    <w:p w:rsidR="00E66D57" w:rsidRPr="00E66D57" w:rsidRDefault="0031194C" w:rsidP="0031194C">
      <w:pPr>
        <w:widowControl w:val="0"/>
        <w:autoSpaceDE w:val="0"/>
        <w:autoSpaceDN w:val="0"/>
        <w:adjustRightInd w:val="0"/>
        <w:rPr>
          <w:rFonts w:cs="Times New Roman"/>
          <w:szCs w:val="18"/>
        </w:rPr>
      </w:pPr>
      <w:r w:rsidRPr="00E66D57">
        <w:rPr>
          <w:rFonts w:cs="Times New Roman"/>
          <w:b/>
          <w:szCs w:val="18"/>
        </w:rPr>
        <w:t>Submission of New Evidence</w:t>
      </w:r>
      <w:r w:rsidR="00DB2E08">
        <w:rPr>
          <w:rFonts w:cs="Times New Roman"/>
          <w:b/>
          <w:szCs w:val="18"/>
        </w:rPr>
        <w:t xml:space="preserve"> at the ALJ Level</w:t>
      </w:r>
      <w:r w:rsidRPr="00E66D57">
        <w:rPr>
          <w:rFonts w:cs="Times New Roman"/>
          <w:b/>
          <w:szCs w:val="18"/>
        </w:rPr>
        <w:t>:</w:t>
      </w:r>
      <w:r w:rsidRPr="00E66D57">
        <w:rPr>
          <w:rFonts w:cs="Times New Roman"/>
          <w:szCs w:val="18"/>
        </w:rPr>
        <w:t xml:space="preserve"> Current regulations specify that evidence not submitted during the first two levels of appeal may not be admitted at the ALJ level, unless a party can demonstrate “good cause” for its admission.</w:t>
      </w:r>
      <w:r w:rsidR="00E66D57" w:rsidRPr="00E66D57">
        <w:rPr>
          <w:rFonts w:cs="Times New Roman"/>
          <w:szCs w:val="18"/>
        </w:rPr>
        <w:t xml:space="preserve"> The final rule states</w:t>
      </w:r>
      <w:r w:rsidRPr="00E66D57">
        <w:rPr>
          <w:rFonts w:cs="Times New Roman"/>
          <w:szCs w:val="18"/>
        </w:rPr>
        <w:t xml:space="preserve"> that</w:t>
      </w:r>
      <w:r w:rsidR="00E66D57" w:rsidRPr="00E66D57">
        <w:rPr>
          <w:rFonts w:cs="Times New Roman"/>
          <w:szCs w:val="18"/>
        </w:rPr>
        <w:t xml:space="preserve"> </w:t>
      </w:r>
      <w:r w:rsidRPr="00E66D57">
        <w:rPr>
          <w:rFonts w:cs="Times New Roman"/>
          <w:szCs w:val="18"/>
        </w:rPr>
        <w:t xml:space="preserve">new evidence may be admitted where </w:t>
      </w:r>
    </w:p>
    <w:p w:rsidR="00E66D57" w:rsidRPr="00E66D57" w:rsidRDefault="0031194C" w:rsidP="0031194C">
      <w:pPr>
        <w:pStyle w:val="ListParagraph"/>
        <w:widowControl w:val="0"/>
        <w:numPr>
          <w:ilvl w:val="0"/>
          <w:numId w:val="11"/>
        </w:numPr>
        <w:autoSpaceDE w:val="0"/>
        <w:autoSpaceDN w:val="0"/>
        <w:adjustRightInd w:val="0"/>
        <w:rPr>
          <w:rFonts w:cs="Times New Roman"/>
          <w:szCs w:val="18"/>
        </w:rPr>
      </w:pPr>
      <w:r w:rsidRPr="00E66D57">
        <w:rPr>
          <w:rFonts w:cs="Times New Roman"/>
          <w:szCs w:val="18"/>
        </w:rPr>
        <w:t>the ALJ or attorney adjudicator finds</w:t>
      </w:r>
      <w:r w:rsidR="00E66D57" w:rsidRPr="00E66D57">
        <w:rPr>
          <w:rFonts w:cs="Times New Roman"/>
          <w:szCs w:val="18"/>
        </w:rPr>
        <w:t xml:space="preserve">  </w:t>
      </w:r>
      <w:r w:rsidRPr="00E66D57">
        <w:rPr>
          <w:rFonts w:cs="Times New Roman"/>
          <w:szCs w:val="18"/>
        </w:rPr>
        <w:t>that the new evidence is material to an issue addressed in the qualified QIC’s</w:t>
      </w:r>
      <w:r w:rsidR="00E66D57" w:rsidRPr="00E66D57">
        <w:rPr>
          <w:rFonts w:cs="Times New Roman"/>
          <w:szCs w:val="18"/>
        </w:rPr>
        <w:t xml:space="preserve">  </w:t>
      </w:r>
      <w:r w:rsidRPr="00E66D57">
        <w:rPr>
          <w:rFonts w:cs="Times New Roman"/>
          <w:szCs w:val="18"/>
        </w:rPr>
        <w:t>reconsideration decision, and the issue was not identified as a material issue prior</w:t>
      </w:r>
      <w:r w:rsidR="00E66D57" w:rsidRPr="00E66D57">
        <w:rPr>
          <w:rFonts w:cs="Times New Roman"/>
          <w:szCs w:val="18"/>
        </w:rPr>
        <w:t xml:space="preserve"> </w:t>
      </w:r>
      <w:r w:rsidRPr="00E66D57">
        <w:rPr>
          <w:rFonts w:cs="Times New Roman"/>
          <w:szCs w:val="18"/>
        </w:rPr>
        <w:t xml:space="preserve">to the QIC’s decision; </w:t>
      </w:r>
    </w:p>
    <w:p w:rsidR="00E66D57" w:rsidRPr="00E66D57" w:rsidRDefault="0031194C" w:rsidP="0031194C">
      <w:pPr>
        <w:pStyle w:val="ListParagraph"/>
        <w:widowControl w:val="0"/>
        <w:numPr>
          <w:ilvl w:val="0"/>
          <w:numId w:val="11"/>
        </w:numPr>
        <w:autoSpaceDE w:val="0"/>
        <w:autoSpaceDN w:val="0"/>
        <w:adjustRightInd w:val="0"/>
        <w:rPr>
          <w:rFonts w:cs="Times New Roman"/>
          <w:szCs w:val="18"/>
        </w:rPr>
      </w:pPr>
      <w:r w:rsidRPr="00E66D57">
        <w:rPr>
          <w:rFonts w:cs="Times New Roman"/>
          <w:szCs w:val="18"/>
        </w:rPr>
        <w:t>the new evidence is material to a new issue identified</w:t>
      </w:r>
      <w:r w:rsidR="00E66D57" w:rsidRPr="00E66D57">
        <w:rPr>
          <w:rFonts w:cs="Times New Roman"/>
          <w:szCs w:val="18"/>
        </w:rPr>
        <w:t xml:space="preserve"> </w:t>
      </w:r>
      <w:r w:rsidRPr="00E66D57">
        <w:rPr>
          <w:rFonts w:cs="Times New Roman"/>
          <w:szCs w:val="18"/>
        </w:rPr>
        <w:t xml:space="preserve">in the QIC’s decision; </w:t>
      </w:r>
    </w:p>
    <w:p w:rsidR="00E66D57" w:rsidRPr="00E66D57" w:rsidRDefault="0031194C" w:rsidP="00E66D57">
      <w:pPr>
        <w:pStyle w:val="ListParagraph"/>
        <w:widowControl w:val="0"/>
        <w:numPr>
          <w:ilvl w:val="0"/>
          <w:numId w:val="11"/>
        </w:numPr>
        <w:autoSpaceDE w:val="0"/>
        <w:autoSpaceDN w:val="0"/>
        <w:adjustRightInd w:val="0"/>
        <w:rPr>
          <w:rFonts w:cs="Times New Roman"/>
          <w:szCs w:val="18"/>
        </w:rPr>
      </w:pPr>
      <w:r w:rsidRPr="00E66D57">
        <w:rPr>
          <w:rFonts w:cs="Times New Roman"/>
          <w:szCs w:val="18"/>
        </w:rPr>
        <w:t>the party was unable to obtain the evidence before</w:t>
      </w:r>
      <w:r w:rsidR="00E66D57" w:rsidRPr="00E66D57">
        <w:rPr>
          <w:rFonts w:cs="Times New Roman"/>
          <w:szCs w:val="18"/>
        </w:rPr>
        <w:t xml:space="preserve"> t</w:t>
      </w:r>
      <w:r w:rsidRPr="00E66D57">
        <w:rPr>
          <w:rFonts w:cs="Times New Roman"/>
          <w:szCs w:val="18"/>
        </w:rPr>
        <w:t>he QIC issued its reconsideration decision, and submits evidence</w:t>
      </w:r>
      <w:r w:rsidR="00E66D57" w:rsidRPr="00E66D57">
        <w:rPr>
          <w:rFonts w:cs="Times New Roman"/>
          <w:szCs w:val="18"/>
        </w:rPr>
        <w:t xml:space="preserve"> </w:t>
      </w:r>
      <w:r w:rsidRPr="00E66D57">
        <w:rPr>
          <w:rFonts w:cs="Times New Roman"/>
          <w:szCs w:val="18"/>
        </w:rPr>
        <w:t>that establishes the party’s reasonable attempts to obtain the evidence before</w:t>
      </w:r>
      <w:r w:rsidR="00E66D57" w:rsidRPr="00E66D57">
        <w:rPr>
          <w:rFonts w:cs="Times New Roman"/>
          <w:szCs w:val="18"/>
        </w:rPr>
        <w:t xml:space="preserve"> the decision was made;</w:t>
      </w:r>
    </w:p>
    <w:p w:rsidR="00E66D57" w:rsidRPr="00E66D57" w:rsidRDefault="0031194C" w:rsidP="00E66D57">
      <w:pPr>
        <w:pStyle w:val="ListParagraph"/>
        <w:widowControl w:val="0"/>
        <w:numPr>
          <w:ilvl w:val="0"/>
          <w:numId w:val="11"/>
        </w:numPr>
        <w:autoSpaceDE w:val="0"/>
        <w:autoSpaceDN w:val="0"/>
        <w:adjustRightInd w:val="0"/>
        <w:rPr>
          <w:rFonts w:cs="Times New Roman"/>
          <w:szCs w:val="18"/>
        </w:rPr>
      </w:pPr>
      <w:r w:rsidRPr="00E66D57">
        <w:rPr>
          <w:rFonts w:cs="Times New Roman"/>
          <w:szCs w:val="18"/>
        </w:rPr>
        <w:t xml:space="preserve"> the evidence was submitted by the party to the QIC</w:t>
      </w:r>
      <w:r w:rsidR="00E66D57" w:rsidRPr="00E66D57">
        <w:rPr>
          <w:rFonts w:cs="Times New Roman"/>
          <w:szCs w:val="18"/>
        </w:rPr>
        <w:t xml:space="preserve"> or another contractor and submits evidence that, in the opinion of the ALJ or attorney adjudicator, demonstrates the new evidence was submitted to the QIC or another contractor before the QIC</w:t>
      </w:r>
    </w:p>
    <w:p w:rsidR="00E66D57" w:rsidRPr="00E66D57" w:rsidRDefault="00E66D57" w:rsidP="00E66D57">
      <w:pPr>
        <w:pStyle w:val="ListParagraph"/>
        <w:widowControl w:val="0"/>
        <w:autoSpaceDE w:val="0"/>
        <w:autoSpaceDN w:val="0"/>
        <w:adjustRightInd w:val="0"/>
        <w:rPr>
          <w:rFonts w:cs="Times New Roman"/>
          <w:szCs w:val="18"/>
        </w:rPr>
      </w:pPr>
      <w:r w:rsidRPr="00E66D57">
        <w:rPr>
          <w:rFonts w:cs="Times New Roman"/>
          <w:szCs w:val="18"/>
        </w:rPr>
        <w:t xml:space="preserve"> issued the reconsideration</w:t>
      </w:r>
    </w:p>
    <w:p w:rsidR="00E66D57" w:rsidRPr="00DB2E08" w:rsidRDefault="0031194C" w:rsidP="00E66D57">
      <w:pPr>
        <w:pStyle w:val="ListParagraph"/>
        <w:widowControl w:val="0"/>
        <w:numPr>
          <w:ilvl w:val="0"/>
          <w:numId w:val="11"/>
        </w:numPr>
        <w:autoSpaceDE w:val="0"/>
        <w:autoSpaceDN w:val="0"/>
        <w:adjustRightInd w:val="0"/>
        <w:rPr>
          <w:rFonts w:cs="Times New Roman"/>
          <w:szCs w:val="18"/>
        </w:rPr>
      </w:pPr>
      <w:r w:rsidRPr="00E66D57">
        <w:rPr>
          <w:rFonts w:cs="Times New Roman"/>
          <w:szCs w:val="18"/>
        </w:rPr>
        <w:t>the ALJ or attorney</w:t>
      </w:r>
      <w:r w:rsidR="00E66D57" w:rsidRPr="00E66D57">
        <w:rPr>
          <w:rFonts w:cs="Times New Roman"/>
          <w:szCs w:val="18"/>
        </w:rPr>
        <w:t xml:space="preserve"> </w:t>
      </w:r>
      <w:r w:rsidRPr="00E66D57">
        <w:rPr>
          <w:rFonts w:cs="Times New Roman"/>
          <w:szCs w:val="18"/>
        </w:rPr>
        <w:t>adjudicator determines the party has demonstrated that it could not have obtained</w:t>
      </w:r>
      <w:r w:rsidR="00E66D57" w:rsidRPr="00E66D57">
        <w:rPr>
          <w:rFonts w:cs="Times New Roman"/>
          <w:szCs w:val="18"/>
        </w:rPr>
        <w:t xml:space="preserve"> </w:t>
      </w:r>
      <w:r w:rsidRPr="00E66D57">
        <w:rPr>
          <w:rFonts w:cs="Times New Roman"/>
          <w:szCs w:val="18"/>
        </w:rPr>
        <w:t>the evidence before the QIC issued its reconsideration.</w:t>
      </w:r>
    </w:p>
    <w:p w:rsidR="00D74622" w:rsidRDefault="00E66D57" w:rsidP="00E66D57">
      <w:pPr>
        <w:widowControl w:val="0"/>
        <w:autoSpaceDE w:val="0"/>
        <w:autoSpaceDN w:val="0"/>
        <w:adjustRightInd w:val="0"/>
        <w:rPr>
          <w:rFonts w:cs="Times New Roman"/>
          <w:szCs w:val="18"/>
        </w:rPr>
      </w:pPr>
      <w:r w:rsidRPr="00E66D57">
        <w:rPr>
          <w:rFonts w:cs="Times New Roman"/>
          <w:szCs w:val="18"/>
        </w:rPr>
        <w:t xml:space="preserve"> </w:t>
      </w:r>
    </w:p>
    <w:p w:rsidR="00D74622" w:rsidRPr="00D74622" w:rsidRDefault="00D74622" w:rsidP="00E66D57">
      <w:pPr>
        <w:widowControl w:val="0"/>
        <w:autoSpaceDE w:val="0"/>
        <w:autoSpaceDN w:val="0"/>
        <w:adjustRightInd w:val="0"/>
        <w:rPr>
          <w:rFonts w:cs="Times New Roman"/>
          <w:szCs w:val="18"/>
        </w:rPr>
      </w:pPr>
      <w:r w:rsidRPr="00D74622">
        <w:rPr>
          <w:rFonts w:cs="Times New Roman"/>
          <w:b/>
          <w:szCs w:val="18"/>
        </w:rPr>
        <w:t xml:space="preserve">Impact: </w:t>
      </w:r>
      <w:r>
        <w:rPr>
          <w:rFonts w:cs="Times New Roman"/>
          <w:szCs w:val="18"/>
        </w:rPr>
        <w:t xml:space="preserve">Fewer parties will introduce newer evidence at the AJL level with a clear definition of “good cause”.  </w:t>
      </w:r>
    </w:p>
    <w:p w:rsidR="001C7B42" w:rsidRPr="00E66D57" w:rsidRDefault="001C7B42" w:rsidP="00E66D57">
      <w:pPr>
        <w:widowControl w:val="0"/>
        <w:autoSpaceDE w:val="0"/>
        <w:autoSpaceDN w:val="0"/>
        <w:adjustRightInd w:val="0"/>
        <w:rPr>
          <w:rFonts w:cs="Times New Roman"/>
          <w:szCs w:val="18"/>
        </w:rPr>
      </w:pPr>
    </w:p>
    <w:p w:rsidR="001C7B42" w:rsidRPr="00E66D57" w:rsidRDefault="001C7B42" w:rsidP="00ED30D7">
      <w:pPr>
        <w:widowControl w:val="0"/>
        <w:autoSpaceDE w:val="0"/>
        <w:autoSpaceDN w:val="0"/>
        <w:adjustRightInd w:val="0"/>
        <w:rPr>
          <w:rFonts w:cs="Times New Roman"/>
          <w:szCs w:val="18"/>
        </w:rPr>
      </w:pPr>
      <w:r w:rsidRPr="00E66D57">
        <w:rPr>
          <w:rFonts w:cs="Times New Roman"/>
          <w:b/>
          <w:szCs w:val="18"/>
        </w:rPr>
        <w:t>Other provisions:</w:t>
      </w:r>
      <w:r w:rsidRPr="00E66D57">
        <w:rPr>
          <w:rFonts w:cs="Times New Roman"/>
          <w:szCs w:val="18"/>
        </w:rPr>
        <w:t xml:space="preserve"> The final rule includes a number of other provisions including:</w:t>
      </w:r>
    </w:p>
    <w:p w:rsidR="0017675C" w:rsidRPr="00E66D57" w:rsidRDefault="001C7B42" w:rsidP="0017675C">
      <w:pPr>
        <w:pStyle w:val="ListParagraph"/>
        <w:widowControl w:val="0"/>
        <w:numPr>
          <w:ilvl w:val="0"/>
          <w:numId w:val="10"/>
        </w:numPr>
        <w:autoSpaceDE w:val="0"/>
        <w:autoSpaceDN w:val="0"/>
        <w:adjustRightInd w:val="0"/>
        <w:rPr>
          <w:rFonts w:cs="Times New Roman"/>
          <w:szCs w:val="18"/>
        </w:rPr>
      </w:pPr>
      <w:r w:rsidRPr="00E66D57">
        <w:rPr>
          <w:rFonts w:cs="Times New Roman"/>
          <w:szCs w:val="18"/>
        </w:rPr>
        <w:t>Allowing ALJs to vacate their own dismissals rath</w:t>
      </w:r>
      <w:r w:rsidR="00671B93">
        <w:rPr>
          <w:rFonts w:cs="Times New Roman"/>
          <w:szCs w:val="18"/>
        </w:rPr>
        <w:t xml:space="preserve">er than requiring appellants to </w:t>
      </w:r>
      <w:r w:rsidRPr="00E66D57">
        <w:rPr>
          <w:rFonts w:cs="Times New Roman"/>
          <w:szCs w:val="18"/>
        </w:rPr>
        <w:t>appeal a dismissal to the Medicare Appeals Council;</w:t>
      </w:r>
    </w:p>
    <w:p w:rsidR="00D84F49" w:rsidRPr="00E66D57" w:rsidRDefault="0017675C" w:rsidP="00D84F49">
      <w:pPr>
        <w:pStyle w:val="ListParagraph"/>
        <w:widowControl w:val="0"/>
        <w:numPr>
          <w:ilvl w:val="0"/>
          <w:numId w:val="10"/>
        </w:numPr>
        <w:autoSpaceDE w:val="0"/>
        <w:autoSpaceDN w:val="0"/>
        <w:adjustRightInd w:val="0"/>
        <w:rPr>
          <w:rFonts w:cs="Times New Roman"/>
          <w:szCs w:val="18"/>
        </w:rPr>
      </w:pPr>
      <w:r w:rsidRPr="00E66D57">
        <w:rPr>
          <w:rFonts w:cs="Times New Roman"/>
          <w:szCs w:val="18"/>
        </w:rPr>
        <w:t>Allowing the ALJ to offer to conduct a hearing by telephone if the request for hearing or administrative record suggests that a telephone hearing may be more convenient for the unrepresented enrollee</w:t>
      </w:r>
      <w:r w:rsidR="00D84F49" w:rsidRPr="00E66D57">
        <w:rPr>
          <w:rFonts w:cs="Times New Roman"/>
          <w:szCs w:val="18"/>
        </w:rPr>
        <w:t xml:space="preserve">. </w:t>
      </w:r>
    </w:p>
    <w:p w:rsidR="00D84F49" w:rsidRPr="00E66D57" w:rsidRDefault="00D84F49" w:rsidP="00D84F49">
      <w:pPr>
        <w:pStyle w:val="ListParagraph"/>
        <w:widowControl w:val="0"/>
        <w:numPr>
          <w:ilvl w:val="0"/>
          <w:numId w:val="10"/>
        </w:numPr>
        <w:autoSpaceDE w:val="0"/>
        <w:autoSpaceDN w:val="0"/>
        <w:adjustRightInd w:val="0"/>
        <w:rPr>
          <w:rFonts w:cs="Times New Roman"/>
          <w:szCs w:val="18"/>
        </w:rPr>
      </w:pPr>
      <w:r w:rsidRPr="00E66D57">
        <w:rPr>
          <w:rFonts w:cs="Times New Roman"/>
          <w:szCs w:val="18"/>
        </w:rPr>
        <w:t xml:space="preserve">Requiring additional information </w:t>
      </w:r>
      <w:r w:rsidR="00F660AC">
        <w:rPr>
          <w:rFonts w:cs="Times New Roman"/>
          <w:szCs w:val="18"/>
        </w:rPr>
        <w:t xml:space="preserve">from appellants </w:t>
      </w:r>
      <w:r w:rsidR="00F660AC" w:rsidRPr="00F660AC">
        <w:rPr>
          <w:rFonts w:cs="Times New Roman"/>
          <w:szCs w:val="18"/>
        </w:rPr>
        <w:t xml:space="preserve">challenging </w:t>
      </w:r>
      <w:r w:rsidRPr="00E66D57">
        <w:rPr>
          <w:rFonts w:cs="Times New Roman"/>
          <w:szCs w:val="18"/>
        </w:rPr>
        <w:t>statistical sampling and extrapolations.</w:t>
      </w:r>
    </w:p>
    <w:p w:rsidR="00DC43BA" w:rsidRPr="00671B93" w:rsidRDefault="00D84F49" w:rsidP="00671B93">
      <w:pPr>
        <w:pStyle w:val="ListParagraph"/>
        <w:widowControl w:val="0"/>
        <w:numPr>
          <w:ilvl w:val="0"/>
          <w:numId w:val="10"/>
        </w:numPr>
        <w:autoSpaceDE w:val="0"/>
        <w:autoSpaceDN w:val="0"/>
        <w:adjustRightInd w:val="0"/>
        <w:rPr>
          <w:rFonts w:cs="Times New Roman"/>
          <w:szCs w:val="18"/>
        </w:rPr>
      </w:pPr>
      <w:r w:rsidRPr="00E66D57">
        <w:rPr>
          <w:rFonts w:cs="Times New Roman"/>
          <w:szCs w:val="18"/>
        </w:rPr>
        <w:t>Requiring additional information for ALJ hearing request</w:t>
      </w:r>
      <w:r w:rsidR="0031194C" w:rsidRPr="00E66D57">
        <w:rPr>
          <w:rFonts w:cs="Times New Roman"/>
          <w:szCs w:val="18"/>
        </w:rPr>
        <w:t>s</w:t>
      </w:r>
      <w:r w:rsidRPr="00E66D57">
        <w:rPr>
          <w:rFonts w:cs="Times New Roman"/>
          <w:szCs w:val="18"/>
        </w:rPr>
        <w:t xml:space="preserve"> including appellant telephone number, </w:t>
      </w:r>
      <w:r w:rsidR="0031194C" w:rsidRPr="00E66D57">
        <w:rPr>
          <w:rFonts w:cs="Times New Roman"/>
          <w:szCs w:val="18"/>
        </w:rPr>
        <w:t xml:space="preserve">Medicare </w:t>
      </w:r>
      <w:r w:rsidRPr="00E66D57">
        <w:rPr>
          <w:rFonts w:cs="Times New Roman"/>
          <w:szCs w:val="18"/>
        </w:rPr>
        <w:t xml:space="preserve">appeals numbers, </w:t>
      </w:r>
      <w:r w:rsidR="0031194C" w:rsidRPr="00E66D57">
        <w:rPr>
          <w:rFonts w:cs="Times New Roman"/>
          <w:szCs w:val="18"/>
        </w:rPr>
        <w:t>and a statement of any additional evidence to be submitted and the date it will be submitted.</w:t>
      </w:r>
    </w:p>
    <w:sectPr w:rsidR="00DC43BA" w:rsidRPr="00671B93" w:rsidSect="00E9306C">
      <w:headerReference w:type="default" r:id="rId6"/>
      <w:footerReference w:type="even" r:id="rId7"/>
      <w:footerReference w:type="default" r:id="rId8"/>
      <w:headerReference w:type="first" r:id="rId9"/>
      <w:footerReference w:type="first" r:id="rId10"/>
      <w:pgSz w:w="12240" w:h="15840"/>
      <w:pgMar w:top="1440" w:right="1440" w:bottom="1440" w:left="1440" w:gutter="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AmericanTypewriter-Bold">
    <w:altName w:val="American Typewriter"/>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6C" w:rsidRDefault="00200438" w:rsidP="0054522E">
    <w:pPr>
      <w:pStyle w:val="Footer"/>
      <w:framePr w:wrap="around" w:vAnchor="text" w:hAnchor="margin" w:xAlign="right" w:y="1"/>
      <w:rPr>
        <w:rStyle w:val="PageNumber"/>
      </w:rPr>
    </w:pPr>
    <w:r>
      <w:rPr>
        <w:rStyle w:val="PageNumber"/>
      </w:rPr>
      <w:fldChar w:fldCharType="begin"/>
    </w:r>
    <w:r w:rsidR="00E9306C">
      <w:rPr>
        <w:rStyle w:val="PageNumber"/>
      </w:rPr>
      <w:instrText xml:space="preserve">PAGE  </w:instrText>
    </w:r>
    <w:r>
      <w:rPr>
        <w:rStyle w:val="PageNumber"/>
      </w:rPr>
      <w:fldChar w:fldCharType="end"/>
    </w:r>
  </w:p>
  <w:p w:rsidR="00E9306C" w:rsidRDefault="00E9306C" w:rsidP="0054522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6C" w:rsidRDefault="00200438" w:rsidP="0054522E">
    <w:pPr>
      <w:pStyle w:val="Footer"/>
      <w:framePr w:wrap="around" w:vAnchor="text" w:hAnchor="margin" w:xAlign="right" w:y="1"/>
      <w:rPr>
        <w:rStyle w:val="PageNumber"/>
      </w:rPr>
    </w:pPr>
    <w:r>
      <w:rPr>
        <w:rStyle w:val="PageNumber"/>
      </w:rPr>
      <w:fldChar w:fldCharType="begin"/>
    </w:r>
    <w:r w:rsidR="00E9306C">
      <w:rPr>
        <w:rStyle w:val="PageNumber"/>
      </w:rPr>
      <w:instrText xml:space="preserve">PAGE  </w:instrText>
    </w:r>
    <w:r>
      <w:rPr>
        <w:rStyle w:val="PageNumber"/>
      </w:rPr>
      <w:fldChar w:fldCharType="separate"/>
    </w:r>
    <w:r w:rsidR="00216202">
      <w:rPr>
        <w:rStyle w:val="PageNumber"/>
        <w:noProof/>
      </w:rPr>
      <w:t>6</w:t>
    </w:r>
    <w:r>
      <w:rPr>
        <w:rStyle w:val="PageNumber"/>
      </w:rPr>
      <w:fldChar w:fldCharType="end"/>
    </w:r>
  </w:p>
  <w:p w:rsidR="00E9306C" w:rsidRDefault="00E9306C" w:rsidP="0054522E">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6C" w:rsidRDefault="00E9306C" w:rsidP="00E9306C">
    <w:pPr>
      <w:widowControl w:val="0"/>
      <w:autoSpaceDE w:val="0"/>
      <w:autoSpaceDN w:val="0"/>
      <w:adjustRightInd w:val="0"/>
      <w:jc w:val="center"/>
      <w:rPr>
        <w:rFonts w:ascii="AmericanTypewriter-Bold" w:hAnsi="AmericanTypewriter-Bold" w:cs="AmericanTypewriter-Bold"/>
        <w:b/>
        <w:bCs/>
        <w:sz w:val="16"/>
        <w:szCs w:val="16"/>
      </w:rPr>
    </w:pPr>
  </w:p>
  <w:p w:rsidR="00E9306C" w:rsidRDefault="00E9306C" w:rsidP="00E9306C">
    <w:pPr>
      <w:widowControl w:val="0"/>
      <w:autoSpaceDE w:val="0"/>
      <w:autoSpaceDN w:val="0"/>
      <w:adjustRightInd w:val="0"/>
      <w:jc w:val="center"/>
      <w:rPr>
        <w:rFonts w:ascii="AmericanTypewriter-Bold" w:hAnsi="AmericanTypewriter-Bold" w:cs="AmericanTypewriter-Bold"/>
        <w:b/>
        <w:bCs/>
        <w:sz w:val="16"/>
        <w:szCs w:val="16"/>
      </w:rPr>
    </w:pPr>
    <w:r>
      <w:rPr>
        <w:rFonts w:ascii="AmericanTypewriter-Bold" w:hAnsi="AmericanTypewriter-Bold" w:cs="AmericanTypewriter-Bold"/>
        <w:b/>
        <w:bCs/>
        <w:sz w:val="16"/>
        <w:szCs w:val="16"/>
      </w:rPr>
      <w:t>S i m o n &amp; C o . , L L C</w:t>
    </w:r>
  </w:p>
  <w:p w:rsidR="00E9306C" w:rsidRDefault="00E9306C" w:rsidP="00E9306C">
    <w:pPr>
      <w:widowControl w:val="0"/>
      <w:autoSpaceDE w:val="0"/>
      <w:autoSpaceDN w:val="0"/>
      <w:adjustRightInd w:val="0"/>
      <w:jc w:val="center"/>
      <w:rPr>
        <w:rFonts w:ascii="AmericanTypewriter-Bold" w:hAnsi="AmericanTypewriter-Bold" w:cs="AmericanTypewriter-Bold"/>
        <w:sz w:val="16"/>
        <w:szCs w:val="16"/>
      </w:rPr>
    </w:pPr>
    <w:r>
      <w:rPr>
        <w:rFonts w:ascii="AmericanTypewriter-Bold" w:hAnsi="AmericanTypewriter-Bold" w:cs="AmericanTypewriter-Bold"/>
        <w:sz w:val="16"/>
        <w:szCs w:val="16"/>
      </w:rPr>
      <w:t>1331 G Street, NW, Suite 910, Washington DC  20005</w:t>
    </w:r>
  </w:p>
  <w:p w:rsidR="00E9306C" w:rsidRDefault="00E9306C" w:rsidP="00E9306C">
    <w:pPr>
      <w:pStyle w:val="Footer"/>
      <w:jc w:val="center"/>
      <w:rPr>
        <w:rFonts w:ascii="AmericanTypewriter-Bold" w:hAnsi="AmericanTypewriter-Bold" w:cs="AmericanTypewriter-Bold"/>
        <w:sz w:val="16"/>
        <w:szCs w:val="16"/>
      </w:rPr>
    </w:pPr>
    <w:r>
      <w:rPr>
        <w:rFonts w:ascii="AmericanTypewriter-Bold" w:hAnsi="AmericanTypewriter-Bold" w:cs="AmericanTypewriter-Bold"/>
        <w:sz w:val="16"/>
        <w:szCs w:val="16"/>
      </w:rPr>
      <w:t xml:space="preserve">(202) 204-4707 </w:t>
    </w:r>
  </w:p>
  <w:p w:rsidR="00E9306C" w:rsidRDefault="00E9306C" w:rsidP="00E9306C">
    <w:pPr>
      <w:pStyle w:val="Footer"/>
      <w:jc w:val="center"/>
    </w:pPr>
    <w:r>
      <w:rPr>
        <w:rFonts w:ascii="AmericanTypewriter-Bold" w:hAnsi="AmericanTypewriter-Bold" w:cs="AmericanTypewriter-Bold"/>
        <w:sz w:val="16"/>
        <w:szCs w:val="16"/>
      </w:rPr>
      <w:t>www.mjsimonandcompany.com</w:t>
    </w:r>
  </w:p>
  <w:p w:rsidR="00E9306C" w:rsidRDefault="00E9306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E9306C" w:rsidRPr="00DB2E08" w:rsidRDefault="00E9306C" w:rsidP="00DB2E08">
      <w:pPr>
        <w:rPr>
          <w:rFonts w:ascii="Times" w:hAnsi="Times"/>
          <w:sz w:val="20"/>
          <w:szCs w:val="20"/>
        </w:rPr>
      </w:pPr>
      <w:r>
        <w:rPr>
          <w:rStyle w:val="FootnoteReference"/>
        </w:rPr>
        <w:footnoteRef/>
      </w:r>
      <w:r>
        <w:t xml:space="preserve"> </w:t>
      </w:r>
      <w:r>
        <w:rPr>
          <w:rFonts w:ascii="Times" w:hAnsi="Times"/>
          <w:sz w:val="20"/>
          <w:szCs w:val="20"/>
        </w:rPr>
        <w:t xml:space="preserve">Federal Register, Vol. 82, No. 10. January 17, 2017. Pages 4974-5140. </w:t>
      </w:r>
    </w:p>
    <w:p w:rsidR="007D1BBD" w:rsidRDefault="007D1BBD">
      <w:pPr>
        <w:pStyle w:val="FootnoteText"/>
      </w:pPr>
    </w:p>
    <w:p w:rsidR="00E9306C" w:rsidRDefault="00E9306C">
      <w:pPr>
        <w:pStyle w:val="FootnoteText"/>
      </w:pPr>
    </w:p>
  </w:footnote>
  <w:footnote w:id="0">
    <w:p w:rsidR="00E9306C" w:rsidRDefault="00E9306C">
      <w:pPr>
        <w:pStyle w:val="FootnoteText"/>
      </w:pPr>
      <w:r>
        <w:rPr>
          <w:rStyle w:val="FootnoteReference"/>
        </w:rPr>
        <w:footnoteRef/>
      </w:r>
      <w:r>
        <w:t xml:space="preserve"> </w:t>
      </w:r>
      <w:r w:rsidRPr="005966DE">
        <w:rPr>
          <w:rFonts w:cs="Times New Roman"/>
          <w:szCs w:val="18"/>
        </w:rPr>
        <w:t>listed in § 405.906</w:t>
      </w:r>
      <w:r>
        <w:rPr>
          <w:rFonts w:cs="Times New Roman"/>
          <w:szCs w:val="18"/>
        </w:rPr>
        <w:t xml:space="preserve"> --  beneficiary, person responsible for deceased beneficiary’s financial debts, supplier, provider, applicable plan, state agency.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6C" w:rsidRPr="00E9306C" w:rsidRDefault="00E9306C">
    <w:pPr>
      <w:pStyle w:val="Header"/>
      <w:rPr>
        <w:rFonts w:ascii="American Typewriter" w:hAnsi="American Typewriter"/>
        <w:sz w:val="20"/>
      </w:rPr>
    </w:pPr>
    <w:r w:rsidRPr="00E9306C">
      <w:rPr>
        <w:rFonts w:ascii="American Typewriter" w:hAnsi="American Typewriter"/>
        <w:sz w:val="20"/>
      </w:rPr>
      <w:t>Simon&amp;Co.</w:t>
    </w:r>
  </w:p>
  <w:p w:rsidR="00E9306C" w:rsidRPr="00E9306C" w:rsidRDefault="00E9306C">
    <w:pPr>
      <w:pStyle w:val="Header"/>
      <w:rPr>
        <w:rFonts w:ascii="American Typewriter" w:hAnsi="American Typewriter"/>
        <w:sz w:val="20"/>
      </w:rPr>
    </w:pPr>
    <w:r w:rsidRPr="00E9306C">
      <w:rPr>
        <w:rFonts w:ascii="American Typewriter" w:hAnsi="American Typewriter"/>
        <w:sz w:val="20"/>
      </w:rPr>
      <w:t>Summary of Medicare Appeals Procedures</w:t>
    </w:r>
  </w:p>
  <w:p w:rsidR="00E9306C" w:rsidRPr="00E9306C" w:rsidRDefault="00E9306C">
    <w:pPr>
      <w:pStyle w:val="Header"/>
      <w:rPr>
        <w:rFonts w:ascii="American Typewriter" w:hAnsi="American Typewriter"/>
        <w:sz w:val="20"/>
      </w:rPr>
    </w:pPr>
    <w:r w:rsidRPr="00E9306C">
      <w:rPr>
        <w:rFonts w:ascii="American Typewriter" w:hAnsi="American Typewriter"/>
        <w:sz w:val="20"/>
      </w:rPr>
      <w:t xml:space="preserve">Page </w:t>
    </w:r>
    <w:r w:rsidR="00200438" w:rsidRPr="00E9306C">
      <w:rPr>
        <w:rStyle w:val="PageNumber"/>
        <w:rFonts w:ascii="American Typewriter" w:hAnsi="American Typewriter"/>
        <w:sz w:val="20"/>
      </w:rPr>
      <w:fldChar w:fldCharType="begin"/>
    </w:r>
    <w:r w:rsidRPr="00E9306C">
      <w:rPr>
        <w:rStyle w:val="PageNumber"/>
        <w:rFonts w:ascii="American Typewriter" w:hAnsi="American Typewriter"/>
        <w:sz w:val="20"/>
      </w:rPr>
      <w:instrText xml:space="preserve"> PAGE </w:instrText>
    </w:r>
    <w:r w:rsidR="00200438" w:rsidRPr="00E9306C">
      <w:rPr>
        <w:rStyle w:val="PageNumber"/>
        <w:rFonts w:ascii="American Typewriter" w:hAnsi="American Typewriter"/>
        <w:sz w:val="20"/>
      </w:rPr>
      <w:fldChar w:fldCharType="separate"/>
    </w:r>
    <w:r w:rsidR="00216202">
      <w:rPr>
        <w:rStyle w:val="PageNumber"/>
        <w:rFonts w:ascii="American Typewriter" w:hAnsi="American Typewriter"/>
        <w:noProof/>
        <w:sz w:val="20"/>
      </w:rPr>
      <w:t>6</w:t>
    </w:r>
    <w:r w:rsidR="00200438" w:rsidRPr="00E9306C">
      <w:rPr>
        <w:rStyle w:val="PageNumber"/>
        <w:rFonts w:ascii="American Typewriter" w:hAnsi="American Typewriter"/>
        <w:sz w:val="20"/>
      </w:rPr>
      <w:fldChar w:fldCharType="end"/>
    </w:r>
  </w:p>
  <w:p w:rsidR="00E9306C" w:rsidRDefault="00E9306C">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6C" w:rsidRDefault="00E9306C">
    <w:pPr>
      <w:pStyle w:val="Header"/>
    </w:pPr>
    <w:r w:rsidRPr="00E9306C">
      <w:rPr>
        <w:noProof/>
      </w:rPr>
      <w:drawing>
        <wp:anchor distT="0" distB="0" distL="114300" distR="114300" simplePos="0" relativeHeight="251659264" behindDoc="1" locked="0" layoutInCell="1" allowOverlap="1">
          <wp:simplePos x="0" y="0"/>
          <wp:positionH relativeFrom="column">
            <wp:posOffset>-457200</wp:posOffset>
          </wp:positionH>
          <wp:positionV relativeFrom="paragraph">
            <wp:posOffset>0</wp:posOffset>
          </wp:positionV>
          <wp:extent cx="1651000" cy="897467"/>
          <wp:effectExtent l="25400" t="0" r="0" b="0"/>
          <wp:wrapNone/>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1000" cy="897467"/>
                  </a:xfrm>
                  <a:prstGeom prst="rect">
                    <a:avLst/>
                  </a:prstGeom>
                  <a:noFill/>
                  <a:ln w="9525">
                    <a:noFill/>
                    <a:miter lim="800000"/>
                    <a:headEnd/>
                    <a:tailEnd/>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5122"/>
    <w:multiLevelType w:val="hybridMultilevel"/>
    <w:tmpl w:val="08249F00"/>
    <w:lvl w:ilvl="0" w:tplc="D680A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21E3F"/>
    <w:multiLevelType w:val="hybridMultilevel"/>
    <w:tmpl w:val="27846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976CE0"/>
    <w:multiLevelType w:val="hybridMultilevel"/>
    <w:tmpl w:val="57A269C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nsid w:val="175132F9"/>
    <w:multiLevelType w:val="hybridMultilevel"/>
    <w:tmpl w:val="4CC4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1412B"/>
    <w:multiLevelType w:val="hybridMultilevel"/>
    <w:tmpl w:val="A17EF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9C1719"/>
    <w:multiLevelType w:val="hybridMultilevel"/>
    <w:tmpl w:val="AB08E4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D9153F5"/>
    <w:multiLevelType w:val="hybridMultilevel"/>
    <w:tmpl w:val="302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01B2624"/>
    <w:multiLevelType w:val="hybridMultilevel"/>
    <w:tmpl w:val="ECEA6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170760"/>
    <w:multiLevelType w:val="hybridMultilevel"/>
    <w:tmpl w:val="245C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4A1B75"/>
    <w:multiLevelType w:val="hybridMultilevel"/>
    <w:tmpl w:val="0808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267B6D"/>
    <w:multiLevelType w:val="hybridMultilevel"/>
    <w:tmpl w:val="8F80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126244"/>
    <w:multiLevelType w:val="hybridMultilevel"/>
    <w:tmpl w:val="0720CEE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2"/>
  </w:num>
  <w:num w:numId="2">
    <w:abstractNumId w:val="10"/>
  </w:num>
  <w:num w:numId="3">
    <w:abstractNumId w:val="1"/>
  </w:num>
  <w:num w:numId="4">
    <w:abstractNumId w:val="6"/>
  </w:num>
  <w:num w:numId="5">
    <w:abstractNumId w:val="5"/>
  </w:num>
  <w:num w:numId="6">
    <w:abstractNumId w:val="11"/>
  </w:num>
  <w:num w:numId="7">
    <w:abstractNumId w:val="3"/>
  </w:num>
  <w:num w:numId="8">
    <w:abstractNumId w:val="4"/>
  </w:num>
  <w:num w:numId="9">
    <w:abstractNumId w:val="7"/>
  </w:num>
  <w:num w:numId="10">
    <w:abstractNumId w:val="9"/>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E0EBA"/>
    <w:rsid w:val="00024CF4"/>
    <w:rsid w:val="000274B7"/>
    <w:rsid w:val="00056EFF"/>
    <w:rsid w:val="00064292"/>
    <w:rsid w:val="000E0EBA"/>
    <w:rsid w:val="00106AE2"/>
    <w:rsid w:val="0016163C"/>
    <w:rsid w:val="0017675C"/>
    <w:rsid w:val="001C267C"/>
    <w:rsid w:val="001C7B42"/>
    <w:rsid w:val="00200438"/>
    <w:rsid w:val="00216202"/>
    <w:rsid w:val="002268B8"/>
    <w:rsid w:val="0023368F"/>
    <w:rsid w:val="002C1687"/>
    <w:rsid w:val="00307147"/>
    <w:rsid w:val="0031194C"/>
    <w:rsid w:val="00313491"/>
    <w:rsid w:val="00322AC8"/>
    <w:rsid w:val="003235C6"/>
    <w:rsid w:val="00374A6C"/>
    <w:rsid w:val="003B36CC"/>
    <w:rsid w:val="003F7110"/>
    <w:rsid w:val="00460197"/>
    <w:rsid w:val="00484E6B"/>
    <w:rsid w:val="00491BBC"/>
    <w:rsid w:val="00492F8E"/>
    <w:rsid w:val="00522781"/>
    <w:rsid w:val="005343DB"/>
    <w:rsid w:val="0054522E"/>
    <w:rsid w:val="00573F58"/>
    <w:rsid w:val="005966DE"/>
    <w:rsid w:val="005A0EEB"/>
    <w:rsid w:val="005B3B38"/>
    <w:rsid w:val="005C0AA6"/>
    <w:rsid w:val="00632BD9"/>
    <w:rsid w:val="00641B6B"/>
    <w:rsid w:val="00671B93"/>
    <w:rsid w:val="006D0FFA"/>
    <w:rsid w:val="00737DC7"/>
    <w:rsid w:val="007A2A90"/>
    <w:rsid w:val="007D1BBD"/>
    <w:rsid w:val="007D2BD1"/>
    <w:rsid w:val="008377B0"/>
    <w:rsid w:val="00893756"/>
    <w:rsid w:val="00A33CAB"/>
    <w:rsid w:val="00A862ED"/>
    <w:rsid w:val="00AD2ED7"/>
    <w:rsid w:val="00AF6DB4"/>
    <w:rsid w:val="00B13F0D"/>
    <w:rsid w:val="00BF7108"/>
    <w:rsid w:val="00C40FC2"/>
    <w:rsid w:val="00CE1DE5"/>
    <w:rsid w:val="00D10596"/>
    <w:rsid w:val="00D74622"/>
    <w:rsid w:val="00D84CC8"/>
    <w:rsid w:val="00D84F49"/>
    <w:rsid w:val="00DB2E08"/>
    <w:rsid w:val="00DC43BA"/>
    <w:rsid w:val="00DF0ED5"/>
    <w:rsid w:val="00E66D57"/>
    <w:rsid w:val="00E92988"/>
    <w:rsid w:val="00E9306C"/>
    <w:rsid w:val="00EC1C1D"/>
    <w:rsid w:val="00ED30D7"/>
    <w:rsid w:val="00F17DC9"/>
    <w:rsid w:val="00F41E9F"/>
    <w:rsid w:val="00F50B4A"/>
    <w:rsid w:val="00F660AC"/>
    <w:rsid w:val="00FF18BF"/>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footer" w:uiPriority="99"/>
  </w:latentStyles>
  <w:style w:type="paragraph" w:default="1" w:styleId="Normal">
    <w:name w:val="Normal"/>
    <w:qFormat/>
    <w:rsid w:val="007266B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0E0EBA"/>
    <w:pPr>
      <w:ind w:left="720"/>
      <w:contextualSpacing/>
    </w:pPr>
  </w:style>
  <w:style w:type="paragraph" w:styleId="NormalWeb">
    <w:name w:val="Normal (Web)"/>
    <w:basedOn w:val="Normal"/>
    <w:uiPriority w:val="99"/>
    <w:rsid w:val="005343DB"/>
    <w:pPr>
      <w:spacing w:beforeLines="1" w:afterLines="1"/>
    </w:pPr>
    <w:rPr>
      <w:rFonts w:ascii="Times" w:hAnsi="Times" w:cs="Times New Roman"/>
      <w:sz w:val="20"/>
      <w:szCs w:val="20"/>
    </w:rPr>
  </w:style>
  <w:style w:type="paragraph" w:styleId="FootnoteText">
    <w:name w:val="footnote text"/>
    <w:basedOn w:val="Normal"/>
    <w:link w:val="FootnoteTextChar"/>
    <w:rsid w:val="005966DE"/>
  </w:style>
  <w:style w:type="character" w:customStyle="1" w:styleId="FootnoteTextChar">
    <w:name w:val="Footnote Text Char"/>
    <w:basedOn w:val="DefaultParagraphFont"/>
    <w:link w:val="FootnoteText"/>
    <w:rsid w:val="005966DE"/>
  </w:style>
  <w:style w:type="character" w:styleId="FootnoteReference">
    <w:name w:val="footnote reference"/>
    <w:basedOn w:val="DefaultParagraphFont"/>
    <w:rsid w:val="005966DE"/>
    <w:rPr>
      <w:vertAlign w:val="superscript"/>
    </w:rPr>
  </w:style>
  <w:style w:type="paragraph" w:styleId="Footer">
    <w:name w:val="footer"/>
    <w:basedOn w:val="Normal"/>
    <w:link w:val="FooterChar"/>
    <w:uiPriority w:val="99"/>
    <w:rsid w:val="0054522E"/>
    <w:pPr>
      <w:tabs>
        <w:tab w:val="center" w:pos="4320"/>
        <w:tab w:val="right" w:pos="8640"/>
      </w:tabs>
    </w:pPr>
  </w:style>
  <w:style w:type="character" w:customStyle="1" w:styleId="FooterChar">
    <w:name w:val="Footer Char"/>
    <w:basedOn w:val="DefaultParagraphFont"/>
    <w:link w:val="Footer"/>
    <w:uiPriority w:val="99"/>
    <w:rsid w:val="0054522E"/>
  </w:style>
  <w:style w:type="character" w:styleId="PageNumber">
    <w:name w:val="page number"/>
    <w:basedOn w:val="DefaultParagraphFont"/>
    <w:rsid w:val="0054522E"/>
  </w:style>
  <w:style w:type="paragraph" w:styleId="Header">
    <w:name w:val="header"/>
    <w:basedOn w:val="Normal"/>
    <w:link w:val="HeaderChar"/>
    <w:rsid w:val="00E9306C"/>
    <w:pPr>
      <w:tabs>
        <w:tab w:val="center" w:pos="4320"/>
        <w:tab w:val="right" w:pos="8640"/>
      </w:tabs>
    </w:pPr>
  </w:style>
  <w:style w:type="character" w:customStyle="1" w:styleId="HeaderChar">
    <w:name w:val="Header Char"/>
    <w:basedOn w:val="DefaultParagraphFont"/>
    <w:link w:val="Header"/>
    <w:rsid w:val="00E9306C"/>
  </w:style>
</w:styles>
</file>

<file path=word/webSettings.xml><?xml version="1.0" encoding="utf-8"?>
<w:webSettings xmlns:r="http://schemas.openxmlformats.org/officeDocument/2006/relationships" xmlns:w="http://schemas.openxmlformats.org/wordprocessingml/2006/main">
  <w:divs>
    <w:div w:id="273900246">
      <w:bodyDiv w:val="1"/>
      <w:marLeft w:val="0"/>
      <w:marRight w:val="0"/>
      <w:marTop w:val="0"/>
      <w:marBottom w:val="0"/>
      <w:divBdr>
        <w:top w:val="none" w:sz="0" w:space="0" w:color="auto"/>
        <w:left w:val="none" w:sz="0" w:space="0" w:color="auto"/>
        <w:bottom w:val="none" w:sz="0" w:space="0" w:color="auto"/>
        <w:right w:val="none" w:sz="0" w:space="0" w:color="auto"/>
      </w:divBdr>
    </w:div>
    <w:div w:id="362823352">
      <w:bodyDiv w:val="1"/>
      <w:marLeft w:val="0"/>
      <w:marRight w:val="0"/>
      <w:marTop w:val="0"/>
      <w:marBottom w:val="0"/>
      <w:divBdr>
        <w:top w:val="none" w:sz="0" w:space="0" w:color="auto"/>
        <w:left w:val="none" w:sz="0" w:space="0" w:color="auto"/>
        <w:bottom w:val="none" w:sz="0" w:space="0" w:color="auto"/>
        <w:right w:val="none" w:sz="0" w:space="0" w:color="auto"/>
      </w:divBdr>
    </w:div>
    <w:div w:id="1054307114">
      <w:bodyDiv w:val="1"/>
      <w:marLeft w:val="0"/>
      <w:marRight w:val="0"/>
      <w:marTop w:val="0"/>
      <w:marBottom w:val="0"/>
      <w:divBdr>
        <w:top w:val="none" w:sz="0" w:space="0" w:color="auto"/>
        <w:left w:val="none" w:sz="0" w:space="0" w:color="auto"/>
        <w:bottom w:val="none" w:sz="0" w:space="0" w:color="auto"/>
        <w:right w:val="none" w:sz="0" w:space="0" w:color="auto"/>
      </w:divBdr>
      <w:divsChild>
        <w:div w:id="781416501">
          <w:marLeft w:val="0"/>
          <w:marRight w:val="0"/>
          <w:marTop w:val="0"/>
          <w:marBottom w:val="0"/>
          <w:divBdr>
            <w:top w:val="none" w:sz="0" w:space="0" w:color="auto"/>
            <w:left w:val="none" w:sz="0" w:space="0" w:color="auto"/>
            <w:bottom w:val="none" w:sz="0" w:space="0" w:color="auto"/>
            <w:right w:val="none" w:sz="0" w:space="0" w:color="auto"/>
          </w:divBdr>
          <w:divsChild>
            <w:div w:id="1930699501">
              <w:marLeft w:val="0"/>
              <w:marRight w:val="0"/>
              <w:marTop w:val="0"/>
              <w:marBottom w:val="0"/>
              <w:divBdr>
                <w:top w:val="none" w:sz="0" w:space="0" w:color="auto"/>
                <w:left w:val="none" w:sz="0" w:space="0" w:color="auto"/>
                <w:bottom w:val="none" w:sz="0" w:space="0" w:color="auto"/>
                <w:right w:val="none" w:sz="0" w:space="0" w:color="auto"/>
              </w:divBdr>
            </w:div>
            <w:div w:id="1603151550">
              <w:marLeft w:val="0"/>
              <w:marRight w:val="0"/>
              <w:marTop w:val="0"/>
              <w:marBottom w:val="0"/>
              <w:divBdr>
                <w:top w:val="none" w:sz="0" w:space="0" w:color="auto"/>
                <w:left w:val="none" w:sz="0" w:space="0" w:color="auto"/>
                <w:bottom w:val="none" w:sz="0" w:space="0" w:color="auto"/>
                <w:right w:val="none" w:sz="0" w:space="0" w:color="auto"/>
              </w:divBdr>
            </w:div>
            <w:div w:id="1423407723">
              <w:marLeft w:val="0"/>
              <w:marRight w:val="0"/>
              <w:marTop w:val="0"/>
              <w:marBottom w:val="0"/>
              <w:divBdr>
                <w:top w:val="none" w:sz="0" w:space="0" w:color="auto"/>
                <w:left w:val="none" w:sz="0" w:space="0" w:color="auto"/>
                <w:bottom w:val="none" w:sz="0" w:space="0" w:color="auto"/>
                <w:right w:val="none" w:sz="0" w:space="0" w:color="auto"/>
              </w:divBdr>
            </w:div>
            <w:div w:id="280455594">
              <w:marLeft w:val="0"/>
              <w:marRight w:val="0"/>
              <w:marTop w:val="0"/>
              <w:marBottom w:val="0"/>
              <w:divBdr>
                <w:top w:val="none" w:sz="0" w:space="0" w:color="auto"/>
                <w:left w:val="none" w:sz="0" w:space="0" w:color="auto"/>
                <w:bottom w:val="none" w:sz="0" w:space="0" w:color="auto"/>
                <w:right w:val="none" w:sz="0" w:space="0" w:color="auto"/>
              </w:divBdr>
            </w:div>
            <w:div w:id="934749324">
              <w:marLeft w:val="0"/>
              <w:marRight w:val="0"/>
              <w:marTop w:val="0"/>
              <w:marBottom w:val="0"/>
              <w:divBdr>
                <w:top w:val="none" w:sz="0" w:space="0" w:color="auto"/>
                <w:left w:val="none" w:sz="0" w:space="0" w:color="auto"/>
                <w:bottom w:val="none" w:sz="0" w:space="0" w:color="auto"/>
                <w:right w:val="none" w:sz="0" w:space="0" w:color="auto"/>
              </w:divBdr>
            </w:div>
            <w:div w:id="761679834">
              <w:marLeft w:val="0"/>
              <w:marRight w:val="0"/>
              <w:marTop w:val="0"/>
              <w:marBottom w:val="0"/>
              <w:divBdr>
                <w:top w:val="none" w:sz="0" w:space="0" w:color="auto"/>
                <w:left w:val="none" w:sz="0" w:space="0" w:color="auto"/>
                <w:bottom w:val="none" w:sz="0" w:space="0" w:color="auto"/>
                <w:right w:val="none" w:sz="0" w:space="0" w:color="auto"/>
              </w:divBdr>
            </w:div>
            <w:div w:id="2086025027">
              <w:marLeft w:val="0"/>
              <w:marRight w:val="0"/>
              <w:marTop w:val="0"/>
              <w:marBottom w:val="0"/>
              <w:divBdr>
                <w:top w:val="none" w:sz="0" w:space="0" w:color="auto"/>
                <w:left w:val="none" w:sz="0" w:space="0" w:color="auto"/>
                <w:bottom w:val="none" w:sz="0" w:space="0" w:color="auto"/>
                <w:right w:val="none" w:sz="0" w:space="0" w:color="auto"/>
              </w:divBdr>
            </w:div>
            <w:div w:id="351884459">
              <w:marLeft w:val="0"/>
              <w:marRight w:val="0"/>
              <w:marTop w:val="0"/>
              <w:marBottom w:val="0"/>
              <w:divBdr>
                <w:top w:val="none" w:sz="0" w:space="0" w:color="auto"/>
                <w:left w:val="none" w:sz="0" w:space="0" w:color="auto"/>
                <w:bottom w:val="none" w:sz="0" w:space="0" w:color="auto"/>
                <w:right w:val="none" w:sz="0" w:space="0" w:color="auto"/>
              </w:divBdr>
            </w:div>
            <w:div w:id="1076125401">
              <w:marLeft w:val="0"/>
              <w:marRight w:val="0"/>
              <w:marTop w:val="0"/>
              <w:marBottom w:val="0"/>
              <w:divBdr>
                <w:top w:val="none" w:sz="0" w:space="0" w:color="auto"/>
                <w:left w:val="none" w:sz="0" w:space="0" w:color="auto"/>
                <w:bottom w:val="none" w:sz="0" w:space="0" w:color="auto"/>
                <w:right w:val="none" w:sz="0" w:space="0" w:color="auto"/>
              </w:divBdr>
            </w:div>
            <w:div w:id="11299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37947">
      <w:bodyDiv w:val="1"/>
      <w:marLeft w:val="0"/>
      <w:marRight w:val="0"/>
      <w:marTop w:val="0"/>
      <w:marBottom w:val="0"/>
      <w:divBdr>
        <w:top w:val="none" w:sz="0" w:space="0" w:color="auto"/>
        <w:left w:val="none" w:sz="0" w:space="0" w:color="auto"/>
        <w:bottom w:val="none" w:sz="0" w:space="0" w:color="auto"/>
        <w:right w:val="none" w:sz="0" w:space="0" w:color="auto"/>
      </w:divBdr>
    </w:div>
    <w:div w:id="1462068630">
      <w:bodyDiv w:val="1"/>
      <w:marLeft w:val="0"/>
      <w:marRight w:val="0"/>
      <w:marTop w:val="0"/>
      <w:marBottom w:val="0"/>
      <w:divBdr>
        <w:top w:val="none" w:sz="0" w:space="0" w:color="auto"/>
        <w:left w:val="none" w:sz="0" w:space="0" w:color="auto"/>
        <w:bottom w:val="none" w:sz="0" w:space="0" w:color="auto"/>
        <w:right w:val="none" w:sz="0" w:space="0" w:color="auto"/>
      </w:divBdr>
    </w:div>
    <w:div w:id="1463616008">
      <w:bodyDiv w:val="1"/>
      <w:marLeft w:val="0"/>
      <w:marRight w:val="0"/>
      <w:marTop w:val="0"/>
      <w:marBottom w:val="0"/>
      <w:divBdr>
        <w:top w:val="none" w:sz="0" w:space="0" w:color="auto"/>
        <w:left w:val="none" w:sz="0" w:space="0" w:color="auto"/>
        <w:bottom w:val="none" w:sz="0" w:space="0" w:color="auto"/>
        <w:right w:val="none" w:sz="0" w:space="0" w:color="auto"/>
      </w:divBdr>
    </w:div>
    <w:div w:id="1644769218">
      <w:bodyDiv w:val="1"/>
      <w:marLeft w:val="0"/>
      <w:marRight w:val="0"/>
      <w:marTop w:val="0"/>
      <w:marBottom w:val="0"/>
      <w:divBdr>
        <w:top w:val="none" w:sz="0" w:space="0" w:color="auto"/>
        <w:left w:val="none" w:sz="0" w:space="0" w:color="auto"/>
        <w:bottom w:val="none" w:sz="0" w:space="0" w:color="auto"/>
        <w:right w:val="none" w:sz="0" w:space="0" w:color="auto"/>
      </w:divBdr>
      <w:divsChild>
        <w:div w:id="315034103">
          <w:marLeft w:val="0"/>
          <w:marRight w:val="0"/>
          <w:marTop w:val="0"/>
          <w:marBottom w:val="0"/>
          <w:divBdr>
            <w:top w:val="none" w:sz="0" w:space="0" w:color="auto"/>
            <w:left w:val="none" w:sz="0" w:space="0" w:color="auto"/>
            <w:bottom w:val="none" w:sz="0" w:space="0" w:color="auto"/>
            <w:right w:val="none" w:sz="0" w:space="0" w:color="auto"/>
          </w:divBdr>
          <w:divsChild>
            <w:div w:id="1021593291">
              <w:marLeft w:val="0"/>
              <w:marRight w:val="0"/>
              <w:marTop w:val="0"/>
              <w:marBottom w:val="0"/>
              <w:divBdr>
                <w:top w:val="none" w:sz="0" w:space="0" w:color="auto"/>
                <w:left w:val="none" w:sz="0" w:space="0" w:color="auto"/>
                <w:bottom w:val="none" w:sz="0" w:space="0" w:color="auto"/>
                <w:right w:val="none" w:sz="0" w:space="0" w:color="auto"/>
              </w:divBdr>
            </w:div>
            <w:div w:id="1957828661">
              <w:marLeft w:val="0"/>
              <w:marRight w:val="0"/>
              <w:marTop w:val="0"/>
              <w:marBottom w:val="0"/>
              <w:divBdr>
                <w:top w:val="none" w:sz="0" w:space="0" w:color="auto"/>
                <w:left w:val="none" w:sz="0" w:space="0" w:color="auto"/>
                <w:bottom w:val="none" w:sz="0" w:space="0" w:color="auto"/>
                <w:right w:val="none" w:sz="0" w:space="0" w:color="auto"/>
              </w:divBdr>
            </w:div>
            <w:div w:id="815803638">
              <w:marLeft w:val="0"/>
              <w:marRight w:val="0"/>
              <w:marTop w:val="0"/>
              <w:marBottom w:val="0"/>
              <w:divBdr>
                <w:top w:val="none" w:sz="0" w:space="0" w:color="auto"/>
                <w:left w:val="none" w:sz="0" w:space="0" w:color="auto"/>
                <w:bottom w:val="none" w:sz="0" w:space="0" w:color="auto"/>
                <w:right w:val="none" w:sz="0" w:space="0" w:color="auto"/>
              </w:divBdr>
            </w:div>
            <w:div w:id="1880587641">
              <w:marLeft w:val="0"/>
              <w:marRight w:val="0"/>
              <w:marTop w:val="0"/>
              <w:marBottom w:val="0"/>
              <w:divBdr>
                <w:top w:val="none" w:sz="0" w:space="0" w:color="auto"/>
                <w:left w:val="none" w:sz="0" w:space="0" w:color="auto"/>
                <w:bottom w:val="none" w:sz="0" w:space="0" w:color="auto"/>
                <w:right w:val="none" w:sz="0" w:space="0" w:color="auto"/>
              </w:divBdr>
            </w:div>
            <w:div w:id="884292767">
              <w:marLeft w:val="0"/>
              <w:marRight w:val="0"/>
              <w:marTop w:val="0"/>
              <w:marBottom w:val="0"/>
              <w:divBdr>
                <w:top w:val="none" w:sz="0" w:space="0" w:color="auto"/>
                <w:left w:val="none" w:sz="0" w:space="0" w:color="auto"/>
                <w:bottom w:val="none" w:sz="0" w:space="0" w:color="auto"/>
                <w:right w:val="none" w:sz="0" w:space="0" w:color="auto"/>
              </w:divBdr>
            </w:div>
            <w:div w:id="1212766549">
              <w:marLeft w:val="0"/>
              <w:marRight w:val="0"/>
              <w:marTop w:val="0"/>
              <w:marBottom w:val="0"/>
              <w:divBdr>
                <w:top w:val="none" w:sz="0" w:space="0" w:color="auto"/>
                <w:left w:val="none" w:sz="0" w:space="0" w:color="auto"/>
                <w:bottom w:val="none" w:sz="0" w:space="0" w:color="auto"/>
                <w:right w:val="none" w:sz="0" w:space="0" w:color="auto"/>
              </w:divBdr>
            </w:div>
            <w:div w:id="805969631">
              <w:marLeft w:val="0"/>
              <w:marRight w:val="0"/>
              <w:marTop w:val="0"/>
              <w:marBottom w:val="0"/>
              <w:divBdr>
                <w:top w:val="none" w:sz="0" w:space="0" w:color="auto"/>
                <w:left w:val="none" w:sz="0" w:space="0" w:color="auto"/>
                <w:bottom w:val="none" w:sz="0" w:space="0" w:color="auto"/>
                <w:right w:val="none" w:sz="0" w:space="0" w:color="auto"/>
              </w:divBdr>
            </w:div>
            <w:div w:id="1611740568">
              <w:marLeft w:val="0"/>
              <w:marRight w:val="0"/>
              <w:marTop w:val="0"/>
              <w:marBottom w:val="0"/>
              <w:divBdr>
                <w:top w:val="none" w:sz="0" w:space="0" w:color="auto"/>
                <w:left w:val="none" w:sz="0" w:space="0" w:color="auto"/>
                <w:bottom w:val="none" w:sz="0" w:space="0" w:color="auto"/>
                <w:right w:val="none" w:sz="0" w:space="0" w:color="auto"/>
              </w:divBdr>
            </w:div>
            <w:div w:id="387993319">
              <w:marLeft w:val="0"/>
              <w:marRight w:val="0"/>
              <w:marTop w:val="0"/>
              <w:marBottom w:val="0"/>
              <w:divBdr>
                <w:top w:val="none" w:sz="0" w:space="0" w:color="auto"/>
                <w:left w:val="none" w:sz="0" w:space="0" w:color="auto"/>
                <w:bottom w:val="none" w:sz="0" w:space="0" w:color="auto"/>
                <w:right w:val="none" w:sz="0" w:space="0" w:color="auto"/>
              </w:divBdr>
            </w:div>
            <w:div w:id="5807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2089">
      <w:bodyDiv w:val="1"/>
      <w:marLeft w:val="0"/>
      <w:marRight w:val="0"/>
      <w:marTop w:val="0"/>
      <w:marBottom w:val="0"/>
      <w:divBdr>
        <w:top w:val="none" w:sz="0" w:space="0" w:color="auto"/>
        <w:left w:val="none" w:sz="0" w:space="0" w:color="auto"/>
        <w:bottom w:val="none" w:sz="0" w:space="0" w:color="auto"/>
        <w:right w:val="none" w:sz="0" w:space="0" w:color="auto"/>
      </w:divBdr>
    </w:div>
    <w:div w:id="2146003375">
      <w:bodyDiv w:val="1"/>
      <w:marLeft w:val="0"/>
      <w:marRight w:val="0"/>
      <w:marTop w:val="0"/>
      <w:marBottom w:val="0"/>
      <w:divBdr>
        <w:top w:val="none" w:sz="0" w:space="0" w:color="auto"/>
        <w:left w:val="none" w:sz="0" w:space="0" w:color="auto"/>
        <w:bottom w:val="none" w:sz="0" w:space="0" w:color="auto"/>
        <w:right w:val="none" w:sz="0" w:space="0" w:color="auto"/>
      </w:divBdr>
      <w:divsChild>
        <w:div w:id="471140569">
          <w:marLeft w:val="0"/>
          <w:marRight w:val="0"/>
          <w:marTop w:val="0"/>
          <w:marBottom w:val="0"/>
          <w:divBdr>
            <w:top w:val="none" w:sz="0" w:space="0" w:color="auto"/>
            <w:left w:val="none" w:sz="0" w:space="0" w:color="auto"/>
            <w:bottom w:val="none" w:sz="0" w:space="0" w:color="auto"/>
            <w:right w:val="none" w:sz="0" w:space="0" w:color="auto"/>
          </w:divBdr>
          <w:divsChild>
            <w:div w:id="712114503">
              <w:marLeft w:val="0"/>
              <w:marRight w:val="0"/>
              <w:marTop w:val="0"/>
              <w:marBottom w:val="0"/>
              <w:divBdr>
                <w:top w:val="none" w:sz="0" w:space="0" w:color="auto"/>
                <w:left w:val="none" w:sz="0" w:space="0" w:color="auto"/>
                <w:bottom w:val="none" w:sz="0" w:space="0" w:color="auto"/>
                <w:right w:val="none" w:sz="0" w:space="0" w:color="auto"/>
              </w:divBdr>
            </w:div>
            <w:div w:id="2136829412">
              <w:marLeft w:val="0"/>
              <w:marRight w:val="0"/>
              <w:marTop w:val="0"/>
              <w:marBottom w:val="0"/>
              <w:divBdr>
                <w:top w:val="none" w:sz="0" w:space="0" w:color="auto"/>
                <w:left w:val="none" w:sz="0" w:space="0" w:color="auto"/>
                <w:bottom w:val="none" w:sz="0" w:space="0" w:color="auto"/>
                <w:right w:val="none" w:sz="0" w:space="0" w:color="auto"/>
              </w:divBdr>
            </w:div>
            <w:div w:id="1809131213">
              <w:marLeft w:val="0"/>
              <w:marRight w:val="0"/>
              <w:marTop w:val="0"/>
              <w:marBottom w:val="0"/>
              <w:divBdr>
                <w:top w:val="none" w:sz="0" w:space="0" w:color="auto"/>
                <w:left w:val="none" w:sz="0" w:space="0" w:color="auto"/>
                <w:bottom w:val="none" w:sz="0" w:space="0" w:color="auto"/>
                <w:right w:val="none" w:sz="0" w:space="0" w:color="auto"/>
              </w:divBdr>
            </w:div>
            <w:div w:id="576355592">
              <w:marLeft w:val="0"/>
              <w:marRight w:val="0"/>
              <w:marTop w:val="0"/>
              <w:marBottom w:val="0"/>
              <w:divBdr>
                <w:top w:val="none" w:sz="0" w:space="0" w:color="auto"/>
                <w:left w:val="none" w:sz="0" w:space="0" w:color="auto"/>
                <w:bottom w:val="none" w:sz="0" w:space="0" w:color="auto"/>
                <w:right w:val="none" w:sz="0" w:space="0" w:color="auto"/>
              </w:divBdr>
            </w:div>
            <w:div w:id="1529561197">
              <w:marLeft w:val="0"/>
              <w:marRight w:val="0"/>
              <w:marTop w:val="0"/>
              <w:marBottom w:val="0"/>
              <w:divBdr>
                <w:top w:val="none" w:sz="0" w:space="0" w:color="auto"/>
                <w:left w:val="none" w:sz="0" w:space="0" w:color="auto"/>
                <w:bottom w:val="none" w:sz="0" w:space="0" w:color="auto"/>
                <w:right w:val="none" w:sz="0" w:space="0" w:color="auto"/>
              </w:divBdr>
            </w:div>
            <w:div w:id="1126968360">
              <w:marLeft w:val="0"/>
              <w:marRight w:val="0"/>
              <w:marTop w:val="0"/>
              <w:marBottom w:val="0"/>
              <w:divBdr>
                <w:top w:val="none" w:sz="0" w:space="0" w:color="auto"/>
                <w:left w:val="none" w:sz="0" w:space="0" w:color="auto"/>
                <w:bottom w:val="none" w:sz="0" w:space="0" w:color="auto"/>
                <w:right w:val="none" w:sz="0" w:space="0" w:color="auto"/>
              </w:divBdr>
            </w:div>
            <w:div w:id="383259595">
              <w:marLeft w:val="0"/>
              <w:marRight w:val="0"/>
              <w:marTop w:val="0"/>
              <w:marBottom w:val="0"/>
              <w:divBdr>
                <w:top w:val="none" w:sz="0" w:space="0" w:color="auto"/>
                <w:left w:val="none" w:sz="0" w:space="0" w:color="auto"/>
                <w:bottom w:val="none" w:sz="0" w:space="0" w:color="auto"/>
                <w:right w:val="none" w:sz="0" w:space="0" w:color="auto"/>
              </w:divBdr>
            </w:div>
            <w:div w:id="1339692116">
              <w:marLeft w:val="0"/>
              <w:marRight w:val="0"/>
              <w:marTop w:val="0"/>
              <w:marBottom w:val="0"/>
              <w:divBdr>
                <w:top w:val="none" w:sz="0" w:space="0" w:color="auto"/>
                <w:left w:val="none" w:sz="0" w:space="0" w:color="auto"/>
                <w:bottom w:val="none" w:sz="0" w:space="0" w:color="auto"/>
                <w:right w:val="none" w:sz="0" w:space="0" w:color="auto"/>
              </w:divBdr>
            </w:div>
            <w:div w:id="1972054926">
              <w:marLeft w:val="0"/>
              <w:marRight w:val="0"/>
              <w:marTop w:val="0"/>
              <w:marBottom w:val="0"/>
              <w:divBdr>
                <w:top w:val="none" w:sz="0" w:space="0" w:color="auto"/>
                <w:left w:val="none" w:sz="0" w:space="0" w:color="auto"/>
                <w:bottom w:val="none" w:sz="0" w:space="0" w:color="auto"/>
                <w:right w:val="none" w:sz="0" w:space="0" w:color="auto"/>
              </w:divBdr>
            </w:div>
            <w:div w:id="1491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2200</Words>
  <Characters>12544</Characters>
  <Application>Microsoft Macintosh Word</Application>
  <DocSecurity>0</DocSecurity>
  <Lines>104</Lines>
  <Paragraphs>25</Paragraphs>
  <ScaleCrop>false</ScaleCrop>
  <Company>Simon &amp; Company</Company>
  <LinksUpToDate>false</LinksUpToDate>
  <CharactersWithSpaces>15404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Late</dc:creator>
  <cp:keywords/>
  <cp:lastModifiedBy>Simon and  Company</cp:lastModifiedBy>
  <cp:revision>2</cp:revision>
  <dcterms:created xsi:type="dcterms:W3CDTF">2017-03-27T14:38:00Z</dcterms:created>
  <dcterms:modified xsi:type="dcterms:W3CDTF">2017-03-27T14:38:00Z</dcterms:modified>
</cp:coreProperties>
</file>