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0A9B" w14:textId="77777777" w:rsidR="00993551" w:rsidRPr="005A2A2B" w:rsidRDefault="00993551" w:rsidP="005A2A2B">
      <w:pPr>
        <w:jc w:val="center"/>
        <w:rPr>
          <w:rFonts w:ascii="Times New Roman" w:hAnsi="Times New Roman" w:cs="Times New Roman"/>
          <w:b/>
          <w:bCs/>
          <w:sz w:val="28"/>
          <w:szCs w:val="28"/>
        </w:rPr>
      </w:pPr>
      <w:proofErr w:type="spellStart"/>
      <w:r w:rsidRPr="005A2A2B">
        <w:rPr>
          <w:rFonts w:ascii="Times New Roman" w:hAnsi="Times New Roman" w:cs="Times New Roman"/>
          <w:b/>
          <w:bCs/>
          <w:sz w:val="28"/>
          <w:szCs w:val="28"/>
        </w:rPr>
        <w:t>STI</w:t>
      </w:r>
      <w:proofErr w:type="spellEnd"/>
      <w:r w:rsidRPr="005A2A2B">
        <w:rPr>
          <w:rFonts w:ascii="Times New Roman" w:hAnsi="Times New Roman" w:cs="Times New Roman"/>
          <w:b/>
          <w:bCs/>
          <w:sz w:val="28"/>
          <w:szCs w:val="28"/>
        </w:rPr>
        <w:t xml:space="preserve"> Treatment Guidelines, 2021</w:t>
      </w:r>
    </w:p>
    <w:p w14:paraId="6EEC858A" w14:textId="23A4A5E4" w:rsidR="00444AB9" w:rsidRPr="005A2A2B" w:rsidRDefault="00993551" w:rsidP="005A2A2B">
      <w:pPr>
        <w:jc w:val="center"/>
        <w:rPr>
          <w:rFonts w:ascii="Times New Roman" w:hAnsi="Times New Roman" w:cs="Times New Roman"/>
          <w:b/>
          <w:bCs/>
          <w:sz w:val="28"/>
          <w:szCs w:val="28"/>
        </w:rPr>
      </w:pPr>
      <w:r w:rsidRPr="005A2A2B">
        <w:rPr>
          <w:rFonts w:ascii="Times New Roman" w:hAnsi="Times New Roman" w:cs="Times New Roman"/>
          <w:b/>
          <w:bCs/>
          <w:sz w:val="28"/>
          <w:szCs w:val="28"/>
        </w:rPr>
        <w:t xml:space="preserve">Detection of </w:t>
      </w:r>
      <w:proofErr w:type="spellStart"/>
      <w:r w:rsidRPr="005A2A2B">
        <w:rPr>
          <w:rFonts w:ascii="Times New Roman" w:hAnsi="Times New Roman" w:cs="Times New Roman"/>
          <w:b/>
          <w:bCs/>
          <w:sz w:val="28"/>
          <w:szCs w:val="28"/>
        </w:rPr>
        <w:t>STIs</w:t>
      </w:r>
      <w:proofErr w:type="spellEnd"/>
      <w:r w:rsidRPr="005A2A2B">
        <w:rPr>
          <w:rFonts w:ascii="Times New Roman" w:hAnsi="Times New Roman" w:cs="Times New Roman"/>
          <w:b/>
          <w:bCs/>
          <w:sz w:val="28"/>
          <w:szCs w:val="28"/>
        </w:rPr>
        <w:t xml:space="preserve"> in Special Populations</w:t>
      </w:r>
    </w:p>
    <w:p w14:paraId="487FBEA6" w14:textId="77777777" w:rsidR="00993551" w:rsidRPr="005A2A2B" w:rsidRDefault="00993551" w:rsidP="00993551">
      <w:pPr>
        <w:rPr>
          <w:rFonts w:ascii="Times New Roman" w:hAnsi="Times New Roman" w:cs="Times New Roman"/>
          <w:sz w:val="28"/>
          <w:szCs w:val="28"/>
        </w:rPr>
      </w:pPr>
    </w:p>
    <w:p w14:paraId="4C65783B" w14:textId="77777777" w:rsidR="00993551" w:rsidRPr="00993551" w:rsidRDefault="00993551" w:rsidP="00993551">
      <w:pPr>
        <w:spacing w:before="100" w:beforeAutospacing="1" w:after="100" w:afterAutospacing="1"/>
        <w:outlineLvl w:val="0"/>
        <w:rPr>
          <w:rFonts w:ascii="Times New Roman" w:eastAsia="Times New Roman" w:hAnsi="Times New Roman" w:cs="Times New Roman"/>
          <w:b/>
          <w:bCs/>
          <w:kern w:val="36"/>
          <w:sz w:val="28"/>
          <w:szCs w:val="28"/>
          <w14:ligatures w14:val="none"/>
        </w:rPr>
      </w:pPr>
      <w:r w:rsidRPr="00993551">
        <w:rPr>
          <w:rFonts w:ascii="Times New Roman" w:eastAsia="Times New Roman" w:hAnsi="Times New Roman" w:cs="Times New Roman"/>
          <w:b/>
          <w:bCs/>
          <w:kern w:val="36"/>
          <w:sz w:val="28"/>
          <w:szCs w:val="28"/>
          <w14:ligatures w14:val="none"/>
        </w:rPr>
        <w:t>Persons in Correctional Facilities</w:t>
      </w:r>
    </w:p>
    <w:p w14:paraId="15BBA88A" w14:textId="77777777" w:rsidR="00993551" w:rsidRPr="00993551" w:rsidRDefault="00993551" w:rsidP="00993551">
      <w:pPr>
        <w:spacing w:before="100" w:beforeAutospacing="1" w:after="100" w:afterAutospacing="1"/>
        <w:rPr>
          <w:rFonts w:ascii="Times New Roman" w:eastAsia="Times New Roman" w:hAnsi="Times New Roman" w:cs="Times New Roman"/>
          <w:kern w:val="0"/>
          <w14:ligatures w14:val="none"/>
        </w:rPr>
      </w:pPr>
      <w:r w:rsidRPr="00993551">
        <w:rPr>
          <w:rFonts w:ascii="Times New Roman" w:eastAsia="Times New Roman" w:hAnsi="Times New Roman" w:cs="Times New Roman"/>
          <w:kern w:val="0"/>
          <w14:ligatures w14:val="none"/>
        </w:rPr>
        <w:t xml:space="preserve">Multiple studies have demonstrated that persons entering </w:t>
      </w:r>
      <w:proofErr w:type="gramStart"/>
      <w:r w:rsidRPr="00993551">
        <w:rPr>
          <w:rFonts w:ascii="Times New Roman" w:eastAsia="Times New Roman" w:hAnsi="Times New Roman" w:cs="Times New Roman"/>
          <w:kern w:val="0"/>
          <w14:ligatures w14:val="none"/>
        </w:rPr>
        <w:t>correctional facilities</w:t>
      </w:r>
      <w:proofErr w:type="gramEnd"/>
      <w:r w:rsidRPr="00993551">
        <w:rPr>
          <w:rFonts w:ascii="Times New Roman" w:eastAsia="Times New Roman" w:hAnsi="Times New Roman" w:cs="Times New Roman"/>
          <w:kern w:val="0"/>
          <w14:ligatures w14:val="none"/>
        </w:rPr>
        <w:t xml:space="preserve"> have a high prevalence of </w:t>
      </w:r>
      <w:proofErr w:type="spellStart"/>
      <w:r w:rsidRPr="00993551">
        <w:rPr>
          <w:rFonts w:ascii="Times New Roman" w:eastAsia="Times New Roman" w:hAnsi="Times New Roman" w:cs="Times New Roman"/>
          <w:kern w:val="0"/>
          <w14:ligatures w14:val="none"/>
        </w:rPr>
        <w:t>STIs</w:t>
      </w:r>
      <w:proofErr w:type="spellEnd"/>
      <w:r w:rsidRPr="00993551">
        <w:rPr>
          <w:rFonts w:ascii="Times New Roman" w:eastAsia="Times New Roman" w:hAnsi="Times New Roman" w:cs="Times New Roman"/>
          <w:kern w:val="0"/>
          <w14:ligatures w14:val="none"/>
        </w:rPr>
        <w:t>, HIV, and viral hepatitis, especially those aged ≤35 years (</w:t>
      </w:r>
      <w:r w:rsidRPr="00993551">
        <w:rPr>
          <w:rFonts w:ascii="Times New Roman" w:eastAsia="Times New Roman" w:hAnsi="Times New Roman" w:cs="Times New Roman"/>
          <w:i/>
          <w:iCs/>
          <w:kern w:val="0"/>
          <w14:ligatures w14:val="none"/>
        </w:rPr>
        <w:t>141</w:t>
      </w:r>
      <w:r w:rsidRPr="00993551">
        <w:rPr>
          <w:rFonts w:ascii="Times New Roman" w:eastAsia="Times New Roman" w:hAnsi="Times New Roman" w:cs="Times New Roman"/>
          <w:kern w:val="0"/>
          <w14:ligatures w14:val="none"/>
        </w:rPr>
        <w:t>,</w:t>
      </w:r>
      <w:r w:rsidRPr="00993551">
        <w:rPr>
          <w:rFonts w:ascii="Times New Roman" w:eastAsia="Times New Roman" w:hAnsi="Times New Roman" w:cs="Times New Roman"/>
          <w:i/>
          <w:iCs/>
          <w:kern w:val="0"/>
          <w14:ligatures w14:val="none"/>
        </w:rPr>
        <w:t>372</w:t>
      </w:r>
      <w:r w:rsidRPr="00993551">
        <w:rPr>
          <w:rFonts w:ascii="Times New Roman" w:eastAsia="Times New Roman" w:hAnsi="Times New Roman" w:cs="Times New Roman"/>
          <w:kern w:val="0"/>
          <w14:ligatures w14:val="none"/>
        </w:rPr>
        <w:t>,</w:t>
      </w:r>
      <w:r w:rsidRPr="00993551">
        <w:rPr>
          <w:rFonts w:ascii="Times New Roman" w:eastAsia="Times New Roman" w:hAnsi="Times New Roman" w:cs="Times New Roman"/>
          <w:i/>
          <w:iCs/>
          <w:kern w:val="0"/>
          <w14:ligatures w14:val="none"/>
        </w:rPr>
        <w:t>373</w:t>
      </w:r>
      <w:r w:rsidRPr="00993551">
        <w:rPr>
          <w:rFonts w:ascii="Times New Roman" w:eastAsia="Times New Roman" w:hAnsi="Times New Roman" w:cs="Times New Roman"/>
          <w:kern w:val="0"/>
          <w14:ligatures w14:val="none"/>
        </w:rPr>
        <w:t xml:space="preserve">). Risk behaviors for acquiring </w:t>
      </w:r>
      <w:proofErr w:type="spellStart"/>
      <w:r w:rsidRPr="00993551">
        <w:rPr>
          <w:rFonts w:ascii="Times New Roman" w:eastAsia="Times New Roman" w:hAnsi="Times New Roman" w:cs="Times New Roman"/>
          <w:kern w:val="0"/>
          <w14:ligatures w14:val="none"/>
        </w:rPr>
        <w:t>STIs</w:t>
      </w:r>
      <w:proofErr w:type="spellEnd"/>
      <w:r w:rsidRPr="00993551">
        <w:rPr>
          <w:rFonts w:ascii="Times New Roman" w:eastAsia="Times New Roman" w:hAnsi="Times New Roman" w:cs="Times New Roman"/>
          <w:kern w:val="0"/>
          <w14:ligatures w14:val="none"/>
        </w:rPr>
        <w:t xml:space="preserve"> (e.g., having condomless sex, having multiple sex partners, substance misuse, and engaging in commercial, survival, or coerced sex) are common among incarcerated populations. Before their incarceration, many persons have had limited access to medical care. Other social determinants of health (e.g., insufficient social and economic support or living in communities with high local </w:t>
      </w:r>
      <w:proofErr w:type="spellStart"/>
      <w:r w:rsidRPr="00993551">
        <w:rPr>
          <w:rFonts w:ascii="Times New Roman" w:eastAsia="Times New Roman" w:hAnsi="Times New Roman" w:cs="Times New Roman"/>
          <w:kern w:val="0"/>
          <w14:ligatures w14:val="none"/>
        </w:rPr>
        <w:t>STI</w:t>
      </w:r>
      <w:proofErr w:type="spellEnd"/>
      <w:r w:rsidRPr="00993551">
        <w:rPr>
          <w:rFonts w:ascii="Times New Roman" w:eastAsia="Times New Roman" w:hAnsi="Times New Roman" w:cs="Times New Roman"/>
          <w:kern w:val="0"/>
          <w14:ligatures w14:val="none"/>
        </w:rPr>
        <w:t xml:space="preserve"> prevalence) are common. Addressing </w:t>
      </w:r>
      <w:proofErr w:type="spellStart"/>
      <w:r w:rsidRPr="00993551">
        <w:rPr>
          <w:rFonts w:ascii="Times New Roman" w:eastAsia="Times New Roman" w:hAnsi="Times New Roman" w:cs="Times New Roman"/>
          <w:kern w:val="0"/>
          <w14:ligatures w14:val="none"/>
        </w:rPr>
        <w:t>STIs</w:t>
      </w:r>
      <w:proofErr w:type="spellEnd"/>
      <w:r w:rsidRPr="00993551">
        <w:rPr>
          <w:rFonts w:ascii="Times New Roman" w:eastAsia="Times New Roman" w:hAnsi="Times New Roman" w:cs="Times New Roman"/>
          <w:kern w:val="0"/>
          <w14:ligatures w14:val="none"/>
        </w:rPr>
        <w:t xml:space="preserve"> in correctional settings is vital for addressing the overall </w:t>
      </w:r>
      <w:proofErr w:type="spellStart"/>
      <w:r w:rsidRPr="00993551">
        <w:rPr>
          <w:rFonts w:ascii="Times New Roman" w:eastAsia="Times New Roman" w:hAnsi="Times New Roman" w:cs="Times New Roman"/>
          <w:kern w:val="0"/>
          <w14:ligatures w14:val="none"/>
        </w:rPr>
        <w:t>STI</w:t>
      </w:r>
      <w:proofErr w:type="spellEnd"/>
      <w:r w:rsidRPr="00993551">
        <w:rPr>
          <w:rFonts w:ascii="Times New Roman" w:eastAsia="Times New Roman" w:hAnsi="Times New Roman" w:cs="Times New Roman"/>
          <w:kern w:val="0"/>
          <w14:ligatures w14:val="none"/>
        </w:rPr>
        <w:t xml:space="preserve"> impact among affected populations.</w:t>
      </w:r>
    </w:p>
    <w:p w14:paraId="5B3D681C" w14:textId="77777777" w:rsidR="00993551" w:rsidRPr="00993551" w:rsidRDefault="00993551" w:rsidP="00993551">
      <w:pPr>
        <w:spacing w:before="100" w:beforeAutospacing="1" w:after="100" w:afterAutospacing="1"/>
        <w:rPr>
          <w:rFonts w:ascii="Times New Roman" w:eastAsia="Times New Roman" w:hAnsi="Times New Roman" w:cs="Times New Roman"/>
          <w:kern w:val="0"/>
          <w14:ligatures w14:val="none"/>
        </w:rPr>
      </w:pPr>
      <w:r w:rsidRPr="00993551">
        <w:rPr>
          <w:rFonts w:ascii="Times New Roman" w:eastAsia="Times New Roman" w:hAnsi="Times New Roman" w:cs="Times New Roman"/>
          <w:kern w:val="0"/>
          <w14:ligatures w14:val="none"/>
        </w:rPr>
        <w:t xml:space="preserve">Growing evidence demonstrates the usefulness of expanded </w:t>
      </w:r>
      <w:proofErr w:type="spellStart"/>
      <w:r w:rsidRPr="00993551">
        <w:rPr>
          <w:rFonts w:ascii="Times New Roman" w:eastAsia="Times New Roman" w:hAnsi="Times New Roman" w:cs="Times New Roman"/>
          <w:kern w:val="0"/>
          <w14:ligatures w14:val="none"/>
        </w:rPr>
        <w:t>STI</w:t>
      </w:r>
      <w:proofErr w:type="spellEnd"/>
      <w:r w:rsidRPr="00993551">
        <w:rPr>
          <w:rFonts w:ascii="Times New Roman" w:eastAsia="Times New Roman" w:hAnsi="Times New Roman" w:cs="Times New Roman"/>
          <w:kern w:val="0"/>
          <w14:ligatures w14:val="none"/>
        </w:rPr>
        <w:t xml:space="preserve"> screening and treatment services in correctional settings, including short-term facilities (jails), long-term institutions (prisons), and juvenile detention centers. For example, in jurisdictions with comprehensive, targeted jail screening, more chlamydial infections among females (and males if screened) are detected and subsequently treated in the correctional setting than in any other single reporting source (</w:t>
      </w:r>
      <w:r w:rsidRPr="00993551">
        <w:rPr>
          <w:rFonts w:ascii="Times New Roman" w:eastAsia="Times New Roman" w:hAnsi="Times New Roman" w:cs="Times New Roman"/>
          <w:i/>
          <w:iCs/>
          <w:kern w:val="0"/>
          <w14:ligatures w14:val="none"/>
        </w:rPr>
        <w:t>141</w:t>
      </w:r>
      <w:r w:rsidRPr="00993551">
        <w:rPr>
          <w:rFonts w:ascii="Times New Roman" w:eastAsia="Times New Roman" w:hAnsi="Times New Roman" w:cs="Times New Roman"/>
          <w:kern w:val="0"/>
          <w14:ligatures w14:val="none"/>
        </w:rPr>
        <w:t>,</w:t>
      </w:r>
      <w:r w:rsidRPr="00993551">
        <w:rPr>
          <w:rFonts w:ascii="Times New Roman" w:eastAsia="Times New Roman" w:hAnsi="Times New Roman" w:cs="Times New Roman"/>
          <w:i/>
          <w:iCs/>
          <w:kern w:val="0"/>
          <w14:ligatures w14:val="none"/>
        </w:rPr>
        <w:t>374</w:t>
      </w:r>
      <w:r w:rsidRPr="00993551">
        <w:rPr>
          <w:rFonts w:ascii="Times New Roman" w:eastAsia="Times New Roman" w:hAnsi="Times New Roman" w:cs="Times New Roman"/>
          <w:kern w:val="0"/>
          <w14:ligatures w14:val="none"/>
        </w:rPr>
        <w:t xml:space="preserve">) and might represent </w:t>
      </w:r>
      <w:proofErr w:type="gramStart"/>
      <w:r w:rsidRPr="00993551">
        <w:rPr>
          <w:rFonts w:ascii="Times New Roman" w:eastAsia="Times New Roman" w:hAnsi="Times New Roman" w:cs="Times New Roman"/>
          <w:kern w:val="0"/>
          <w14:ligatures w14:val="none"/>
        </w:rPr>
        <w:t>the majority of</w:t>
      </w:r>
      <w:proofErr w:type="gramEnd"/>
      <w:r w:rsidRPr="00993551">
        <w:rPr>
          <w:rFonts w:ascii="Times New Roman" w:eastAsia="Times New Roman" w:hAnsi="Times New Roman" w:cs="Times New Roman"/>
          <w:kern w:val="0"/>
          <w14:ligatures w14:val="none"/>
        </w:rPr>
        <w:t xml:space="preserve"> reported cases in certain jurisdictions (</w:t>
      </w:r>
      <w:r w:rsidRPr="00993551">
        <w:rPr>
          <w:rFonts w:ascii="Times New Roman" w:eastAsia="Times New Roman" w:hAnsi="Times New Roman" w:cs="Times New Roman"/>
          <w:i/>
          <w:iCs/>
          <w:kern w:val="0"/>
          <w14:ligatures w14:val="none"/>
        </w:rPr>
        <w:t>375</w:t>
      </w:r>
      <w:r w:rsidRPr="00993551">
        <w:rPr>
          <w:rFonts w:ascii="Times New Roman" w:eastAsia="Times New Roman" w:hAnsi="Times New Roman" w:cs="Times New Roman"/>
          <w:kern w:val="0"/>
          <w14:ligatures w14:val="none"/>
        </w:rPr>
        <w:t>). Screening in the jail setting has the potential to reach substantially more persons at risk than screening among the prison population alone.</w:t>
      </w:r>
    </w:p>
    <w:p w14:paraId="5DCFD9EE" w14:textId="77777777" w:rsidR="00993551" w:rsidRPr="00993551" w:rsidRDefault="00993551" w:rsidP="00993551">
      <w:pPr>
        <w:spacing w:before="100" w:beforeAutospacing="1" w:after="100" w:afterAutospacing="1"/>
        <w:rPr>
          <w:rFonts w:ascii="Times New Roman" w:eastAsia="Times New Roman" w:hAnsi="Times New Roman" w:cs="Times New Roman"/>
          <w:kern w:val="0"/>
          <w14:ligatures w14:val="none"/>
        </w:rPr>
      </w:pPr>
      <w:r w:rsidRPr="00993551">
        <w:rPr>
          <w:rFonts w:ascii="Times New Roman" w:eastAsia="Times New Roman" w:hAnsi="Times New Roman" w:cs="Times New Roman"/>
          <w:kern w:val="0"/>
          <w14:ligatures w14:val="none"/>
        </w:rPr>
        <w:t>Both males and females aged ≤35 years in juvenile and adult detention facilities have been reported to have higher rates of chlamydia and gonorrhea than nonincarcerated persons in the community (</w:t>
      </w:r>
      <w:r w:rsidRPr="00993551">
        <w:rPr>
          <w:rFonts w:ascii="Times New Roman" w:eastAsia="Times New Roman" w:hAnsi="Times New Roman" w:cs="Times New Roman"/>
          <w:i/>
          <w:iCs/>
          <w:kern w:val="0"/>
          <w14:ligatures w14:val="none"/>
        </w:rPr>
        <w:t>141</w:t>
      </w:r>
      <w:r w:rsidRPr="00993551">
        <w:rPr>
          <w:rFonts w:ascii="Times New Roman" w:eastAsia="Times New Roman" w:hAnsi="Times New Roman" w:cs="Times New Roman"/>
          <w:kern w:val="0"/>
          <w14:ligatures w14:val="none"/>
        </w:rPr>
        <w:t>,</w:t>
      </w:r>
      <w:r w:rsidRPr="00993551">
        <w:rPr>
          <w:rFonts w:ascii="Times New Roman" w:eastAsia="Times New Roman" w:hAnsi="Times New Roman" w:cs="Times New Roman"/>
          <w:i/>
          <w:iCs/>
          <w:kern w:val="0"/>
          <w14:ligatures w14:val="none"/>
        </w:rPr>
        <w:t>374</w:t>
      </w:r>
      <w:r w:rsidRPr="00993551">
        <w:rPr>
          <w:rFonts w:ascii="Times New Roman" w:eastAsia="Times New Roman" w:hAnsi="Times New Roman" w:cs="Times New Roman"/>
          <w:kern w:val="0"/>
          <w14:ligatures w14:val="none"/>
        </w:rPr>
        <w:t>,</w:t>
      </w:r>
      <w:r w:rsidRPr="00993551">
        <w:rPr>
          <w:rFonts w:ascii="Times New Roman" w:eastAsia="Times New Roman" w:hAnsi="Times New Roman" w:cs="Times New Roman"/>
          <w:i/>
          <w:iCs/>
          <w:kern w:val="0"/>
          <w14:ligatures w14:val="none"/>
        </w:rPr>
        <w:t>376</w:t>
      </w:r>
      <w:r w:rsidRPr="00993551">
        <w:rPr>
          <w:rFonts w:ascii="Times New Roman" w:eastAsia="Times New Roman" w:hAnsi="Times New Roman" w:cs="Times New Roman"/>
          <w:kern w:val="0"/>
          <w14:ligatures w14:val="none"/>
        </w:rPr>
        <w:t>). Syphilis seroprevalence rates, which can indicate previously treated or current infection, are considerably higher among incarcerated adult men and women than among adolescents, which is consistent with the overall national syphilis trends (</w:t>
      </w:r>
      <w:r w:rsidRPr="00993551">
        <w:rPr>
          <w:rFonts w:ascii="Times New Roman" w:eastAsia="Times New Roman" w:hAnsi="Times New Roman" w:cs="Times New Roman"/>
          <w:i/>
          <w:iCs/>
          <w:kern w:val="0"/>
          <w14:ligatures w14:val="none"/>
        </w:rPr>
        <w:t>141</w:t>
      </w:r>
      <w:r w:rsidRPr="00993551">
        <w:rPr>
          <w:rFonts w:ascii="Times New Roman" w:eastAsia="Times New Roman" w:hAnsi="Times New Roman" w:cs="Times New Roman"/>
          <w:kern w:val="0"/>
          <w14:ligatures w14:val="none"/>
        </w:rPr>
        <w:t>,</w:t>
      </w:r>
      <w:r w:rsidRPr="00993551">
        <w:rPr>
          <w:rFonts w:ascii="Times New Roman" w:eastAsia="Times New Roman" w:hAnsi="Times New Roman" w:cs="Times New Roman"/>
          <w:i/>
          <w:iCs/>
          <w:kern w:val="0"/>
          <w14:ligatures w14:val="none"/>
        </w:rPr>
        <w:t>374</w:t>
      </w:r>
      <w:r w:rsidRPr="00993551">
        <w:rPr>
          <w:rFonts w:ascii="Times New Roman" w:eastAsia="Times New Roman" w:hAnsi="Times New Roman" w:cs="Times New Roman"/>
          <w:kern w:val="0"/>
          <w14:ligatures w14:val="none"/>
        </w:rPr>
        <w:t xml:space="preserve">). Detection and treatment of early syphilis in </w:t>
      </w:r>
      <w:proofErr w:type="gramStart"/>
      <w:r w:rsidRPr="00993551">
        <w:rPr>
          <w:rFonts w:ascii="Times New Roman" w:eastAsia="Times New Roman" w:hAnsi="Times New Roman" w:cs="Times New Roman"/>
          <w:kern w:val="0"/>
          <w14:ligatures w14:val="none"/>
        </w:rPr>
        <w:t>correctional facilities</w:t>
      </w:r>
      <w:proofErr w:type="gramEnd"/>
      <w:r w:rsidRPr="00993551">
        <w:rPr>
          <w:rFonts w:ascii="Times New Roman" w:eastAsia="Times New Roman" w:hAnsi="Times New Roman" w:cs="Times New Roman"/>
          <w:kern w:val="0"/>
          <w14:ligatures w14:val="none"/>
        </w:rPr>
        <w:t xml:space="preserve"> might affect rates of transmission among adults and prevention of congenital syphilis (</w:t>
      </w:r>
      <w:r w:rsidRPr="00993551">
        <w:rPr>
          <w:rFonts w:ascii="Times New Roman" w:eastAsia="Times New Roman" w:hAnsi="Times New Roman" w:cs="Times New Roman"/>
          <w:i/>
          <w:iCs/>
          <w:kern w:val="0"/>
          <w14:ligatures w14:val="none"/>
        </w:rPr>
        <w:t>377</w:t>
      </w:r>
      <w:r w:rsidRPr="00993551">
        <w:rPr>
          <w:rFonts w:ascii="Times New Roman" w:eastAsia="Times New Roman" w:hAnsi="Times New Roman" w:cs="Times New Roman"/>
          <w:kern w:val="0"/>
          <w14:ligatures w14:val="none"/>
        </w:rPr>
        <w:t>).</w:t>
      </w:r>
    </w:p>
    <w:p w14:paraId="09E85E8C" w14:textId="77777777" w:rsidR="00993551" w:rsidRPr="00993551" w:rsidRDefault="00993551" w:rsidP="00993551">
      <w:pPr>
        <w:spacing w:before="100" w:beforeAutospacing="1" w:after="100" w:afterAutospacing="1"/>
        <w:rPr>
          <w:rFonts w:ascii="Times New Roman" w:eastAsia="Times New Roman" w:hAnsi="Times New Roman" w:cs="Times New Roman"/>
          <w:kern w:val="0"/>
          <w14:ligatures w14:val="none"/>
        </w:rPr>
      </w:pPr>
      <w:r w:rsidRPr="00993551">
        <w:rPr>
          <w:rFonts w:ascii="Times New Roman" w:eastAsia="Times New Roman" w:hAnsi="Times New Roman" w:cs="Times New Roman"/>
          <w:kern w:val="0"/>
          <w14:ligatures w14:val="none"/>
        </w:rPr>
        <w:t xml:space="preserve">In jails, approximately half of entrants are released back into the community within 48 hours. As a result, treatment completion rates for those screened for </w:t>
      </w:r>
      <w:proofErr w:type="spellStart"/>
      <w:r w:rsidRPr="00993551">
        <w:rPr>
          <w:rFonts w:ascii="Times New Roman" w:eastAsia="Times New Roman" w:hAnsi="Times New Roman" w:cs="Times New Roman"/>
          <w:kern w:val="0"/>
          <w14:ligatures w14:val="none"/>
        </w:rPr>
        <w:t>STIs</w:t>
      </w:r>
      <w:proofErr w:type="spellEnd"/>
      <w:r w:rsidRPr="00993551">
        <w:rPr>
          <w:rFonts w:ascii="Times New Roman" w:eastAsia="Times New Roman" w:hAnsi="Times New Roman" w:cs="Times New Roman"/>
          <w:kern w:val="0"/>
          <w14:ligatures w14:val="none"/>
        </w:rPr>
        <w:t xml:space="preserve"> and who receive </w:t>
      </w:r>
      <w:proofErr w:type="spellStart"/>
      <w:r w:rsidRPr="00993551">
        <w:rPr>
          <w:rFonts w:ascii="Times New Roman" w:eastAsia="Times New Roman" w:hAnsi="Times New Roman" w:cs="Times New Roman"/>
          <w:kern w:val="0"/>
          <w14:ligatures w14:val="none"/>
        </w:rPr>
        <w:t>STI</w:t>
      </w:r>
      <w:proofErr w:type="spellEnd"/>
      <w:r w:rsidRPr="00993551">
        <w:rPr>
          <w:rFonts w:ascii="Times New Roman" w:eastAsia="Times New Roman" w:hAnsi="Times New Roman" w:cs="Times New Roman"/>
          <w:kern w:val="0"/>
          <w14:ligatures w14:val="none"/>
        </w:rPr>
        <w:t xml:space="preserve"> diagnoses in short-term facilities might not be optimal. However, because of the mobility of incarcerated populations in and out of the community, the impact of screening in </w:t>
      </w:r>
      <w:proofErr w:type="gramStart"/>
      <w:r w:rsidRPr="00993551">
        <w:rPr>
          <w:rFonts w:ascii="Times New Roman" w:eastAsia="Times New Roman" w:hAnsi="Times New Roman" w:cs="Times New Roman"/>
          <w:kern w:val="0"/>
          <w14:ligatures w14:val="none"/>
        </w:rPr>
        <w:t>correctional facilities</w:t>
      </w:r>
      <w:proofErr w:type="gramEnd"/>
      <w:r w:rsidRPr="00993551">
        <w:rPr>
          <w:rFonts w:ascii="Times New Roman" w:eastAsia="Times New Roman" w:hAnsi="Times New Roman" w:cs="Times New Roman"/>
          <w:kern w:val="0"/>
          <w14:ligatures w14:val="none"/>
        </w:rPr>
        <w:t xml:space="preserve"> on the prevalence of infections among detainees and subsequent transmission in the community after release might be considerable (</w:t>
      </w:r>
      <w:r w:rsidRPr="00993551">
        <w:rPr>
          <w:rFonts w:ascii="Times New Roman" w:eastAsia="Times New Roman" w:hAnsi="Times New Roman" w:cs="Times New Roman"/>
          <w:i/>
          <w:iCs/>
          <w:kern w:val="0"/>
          <w14:ligatures w14:val="none"/>
        </w:rPr>
        <w:t>378</w:t>
      </w:r>
      <w:r w:rsidRPr="00993551">
        <w:rPr>
          <w:rFonts w:ascii="Times New Roman" w:eastAsia="Times New Roman" w:hAnsi="Times New Roman" w:cs="Times New Roman"/>
          <w:kern w:val="0"/>
          <w14:ligatures w14:val="none"/>
        </w:rPr>
        <w:t>). Moreover, treatment completion rates of ≥95% in short-term facilities can be achieved by offering screening at or shortly after intake, thus facilitating earlier receipt of test results and, if needed, follow-up of untreated persons can be conducted through public health outreach.</w:t>
      </w:r>
    </w:p>
    <w:p w14:paraId="327FE798" w14:textId="77777777" w:rsidR="00993551" w:rsidRPr="00993551" w:rsidRDefault="00993551" w:rsidP="00993551">
      <w:pPr>
        <w:spacing w:before="100" w:beforeAutospacing="1" w:after="100" w:afterAutospacing="1"/>
        <w:rPr>
          <w:rFonts w:ascii="Times New Roman" w:eastAsia="Times New Roman" w:hAnsi="Times New Roman" w:cs="Times New Roman"/>
          <w:kern w:val="0"/>
          <w14:ligatures w14:val="none"/>
        </w:rPr>
      </w:pPr>
      <w:r w:rsidRPr="00993551">
        <w:rPr>
          <w:rFonts w:ascii="Times New Roman" w:eastAsia="Times New Roman" w:hAnsi="Times New Roman" w:cs="Times New Roman"/>
          <w:kern w:val="0"/>
          <w14:ligatures w14:val="none"/>
        </w:rPr>
        <w:t xml:space="preserve">Universal, opt-out screening for chlamydia and gonorrhea among females aged ≤35 years entering juvenile and adult </w:t>
      </w:r>
      <w:proofErr w:type="gramStart"/>
      <w:r w:rsidRPr="00993551">
        <w:rPr>
          <w:rFonts w:ascii="Times New Roman" w:eastAsia="Times New Roman" w:hAnsi="Times New Roman" w:cs="Times New Roman"/>
          <w:kern w:val="0"/>
          <w14:ligatures w14:val="none"/>
        </w:rPr>
        <w:t>correctional facilities</w:t>
      </w:r>
      <w:proofErr w:type="gramEnd"/>
      <w:r w:rsidRPr="00993551">
        <w:rPr>
          <w:rFonts w:ascii="Times New Roman" w:eastAsia="Times New Roman" w:hAnsi="Times New Roman" w:cs="Times New Roman"/>
          <w:kern w:val="0"/>
          <w14:ligatures w14:val="none"/>
        </w:rPr>
        <w:t xml:space="preserve"> is recommended (</w:t>
      </w:r>
      <w:r w:rsidRPr="00993551">
        <w:rPr>
          <w:rFonts w:ascii="Times New Roman" w:eastAsia="Times New Roman" w:hAnsi="Times New Roman" w:cs="Times New Roman"/>
          <w:i/>
          <w:iCs/>
          <w:kern w:val="0"/>
          <w14:ligatures w14:val="none"/>
        </w:rPr>
        <w:t>379</w:t>
      </w:r>
      <w:r w:rsidRPr="00993551">
        <w:rPr>
          <w:rFonts w:ascii="Times New Roman" w:eastAsia="Times New Roman" w:hAnsi="Times New Roman" w:cs="Times New Roman"/>
          <w:kern w:val="0"/>
          <w14:ligatures w14:val="none"/>
        </w:rPr>
        <w:t xml:space="preserve">). Males aged &lt;30 years entering juvenile and adult </w:t>
      </w:r>
      <w:proofErr w:type="gramStart"/>
      <w:r w:rsidRPr="00993551">
        <w:rPr>
          <w:rFonts w:ascii="Times New Roman" w:eastAsia="Times New Roman" w:hAnsi="Times New Roman" w:cs="Times New Roman"/>
          <w:kern w:val="0"/>
          <w14:ligatures w14:val="none"/>
        </w:rPr>
        <w:t>correctional facilities</w:t>
      </w:r>
      <w:proofErr w:type="gramEnd"/>
      <w:r w:rsidRPr="00993551">
        <w:rPr>
          <w:rFonts w:ascii="Times New Roman" w:eastAsia="Times New Roman" w:hAnsi="Times New Roman" w:cs="Times New Roman"/>
          <w:kern w:val="0"/>
          <w14:ligatures w14:val="none"/>
        </w:rPr>
        <w:t xml:space="preserve"> should also be screened for chlamydia and gonorrhea (</w:t>
      </w:r>
      <w:r w:rsidRPr="00993551">
        <w:rPr>
          <w:rFonts w:ascii="Times New Roman" w:eastAsia="Times New Roman" w:hAnsi="Times New Roman" w:cs="Times New Roman"/>
          <w:i/>
          <w:iCs/>
          <w:kern w:val="0"/>
          <w14:ligatures w14:val="none"/>
        </w:rPr>
        <w:t>380</w:t>
      </w:r>
      <w:r w:rsidRPr="00993551">
        <w:rPr>
          <w:rFonts w:ascii="Times New Roman" w:eastAsia="Times New Roman" w:hAnsi="Times New Roman" w:cs="Times New Roman"/>
          <w:kern w:val="0"/>
          <w14:ligatures w14:val="none"/>
        </w:rPr>
        <w:t xml:space="preserve">). Opt-out screening has the potential to substantially increase the number tested </w:t>
      </w:r>
      <w:r w:rsidRPr="00993551">
        <w:rPr>
          <w:rFonts w:ascii="Times New Roman" w:eastAsia="Times New Roman" w:hAnsi="Times New Roman" w:cs="Times New Roman"/>
          <w:kern w:val="0"/>
          <w14:ligatures w14:val="none"/>
        </w:rPr>
        <w:lastRenderedPageBreak/>
        <w:t>and the number of chlamydia and gonorrhea infections detected (</w:t>
      </w:r>
      <w:r w:rsidRPr="00993551">
        <w:rPr>
          <w:rFonts w:ascii="Times New Roman" w:eastAsia="Times New Roman" w:hAnsi="Times New Roman" w:cs="Times New Roman"/>
          <w:i/>
          <w:iCs/>
          <w:kern w:val="0"/>
          <w14:ligatures w14:val="none"/>
        </w:rPr>
        <w:t>381</w:t>
      </w:r>
      <w:r w:rsidRPr="00993551">
        <w:rPr>
          <w:rFonts w:ascii="Times New Roman" w:eastAsia="Times New Roman" w:hAnsi="Times New Roman" w:cs="Times New Roman"/>
          <w:kern w:val="0"/>
          <w14:ligatures w14:val="none"/>
        </w:rPr>
        <w:t>–</w:t>
      </w:r>
      <w:r w:rsidRPr="00993551">
        <w:rPr>
          <w:rFonts w:ascii="Times New Roman" w:eastAsia="Times New Roman" w:hAnsi="Times New Roman" w:cs="Times New Roman"/>
          <w:i/>
          <w:iCs/>
          <w:kern w:val="0"/>
          <w14:ligatures w14:val="none"/>
        </w:rPr>
        <w:t>385</w:t>
      </w:r>
      <w:r w:rsidRPr="00993551">
        <w:rPr>
          <w:rFonts w:ascii="Times New Roman" w:eastAsia="Times New Roman" w:hAnsi="Times New Roman" w:cs="Times New Roman"/>
          <w:kern w:val="0"/>
          <w14:ligatures w14:val="none"/>
        </w:rPr>
        <w:t xml:space="preserve">). Point-of-care (POC) </w:t>
      </w:r>
      <w:proofErr w:type="spellStart"/>
      <w:r w:rsidRPr="00993551">
        <w:rPr>
          <w:rFonts w:ascii="Times New Roman" w:eastAsia="Times New Roman" w:hAnsi="Times New Roman" w:cs="Times New Roman"/>
          <w:kern w:val="0"/>
          <w14:ligatures w14:val="none"/>
        </w:rPr>
        <w:t>NAAT</w:t>
      </w:r>
      <w:proofErr w:type="spellEnd"/>
      <w:r w:rsidRPr="00993551">
        <w:rPr>
          <w:rFonts w:ascii="Times New Roman" w:eastAsia="Times New Roman" w:hAnsi="Times New Roman" w:cs="Times New Roman"/>
          <w:kern w:val="0"/>
          <w14:ligatures w14:val="none"/>
        </w:rPr>
        <w:t xml:space="preserve"> might also be considered if the tests have demonstrated sufficient sensitivity and specificity. Studies have demonstrated high prevalence of trichomoniasis among incarcerated females (</w:t>
      </w:r>
      <w:r w:rsidRPr="00993551">
        <w:rPr>
          <w:rFonts w:ascii="Times New Roman" w:eastAsia="Times New Roman" w:hAnsi="Times New Roman" w:cs="Times New Roman"/>
          <w:i/>
          <w:iCs/>
          <w:kern w:val="0"/>
          <w14:ligatures w14:val="none"/>
        </w:rPr>
        <w:t>386</w:t>
      </w:r>
      <w:r w:rsidRPr="00993551">
        <w:rPr>
          <w:rFonts w:ascii="Times New Roman" w:eastAsia="Times New Roman" w:hAnsi="Times New Roman" w:cs="Times New Roman"/>
          <w:kern w:val="0"/>
          <w14:ligatures w14:val="none"/>
        </w:rPr>
        <w:t>–</w:t>
      </w:r>
      <w:r w:rsidRPr="00993551">
        <w:rPr>
          <w:rFonts w:ascii="Times New Roman" w:eastAsia="Times New Roman" w:hAnsi="Times New Roman" w:cs="Times New Roman"/>
          <w:i/>
          <w:iCs/>
          <w:kern w:val="0"/>
          <w14:ligatures w14:val="none"/>
        </w:rPr>
        <w:t>392</w:t>
      </w:r>
      <w:r w:rsidRPr="00993551">
        <w:rPr>
          <w:rFonts w:ascii="Times New Roman" w:eastAsia="Times New Roman" w:hAnsi="Times New Roman" w:cs="Times New Roman"/>
          <w:kern w:val="0"/>
          <w14:ligatures w14:val="none"/>
        </w:rPr>
        <w:t>).</w:t>
      </w:r>
    </w:p>
    <w:p w14:paraId="6FE477AD" w14:textId="77777777" w:rsidR="00993551" w:rsidRPr="00993551" w:rsidRDefault="00993551" w:rsidP="00993551">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993551">
        <w:rPr>
          <w:rFonts w:ascii="Times New Roman" w:eastAsia="Times New Roman" w:hAnsi="Times New Roman" w:cs="Times New Roman"/>
          <w:b/>
          <w:bCs/>
          <w:kern w:val="0"/>
          <w:sz w:val="36"/>
          <w:szCs w:val="36"/>
          <w14:ligatures w14:val="none"/>
        </w:rPr>
        <w:t>Screening Recommendations</w:t>
      </w:r>
    </w:p>
    <w:p w14:paraId="2AD0104D" w14:textId="77777777" w:rsidR="00993551" w:rsidRPr="00993551" w:rsidRDefault="00993551" w:rsidP="0099355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993551">
        <w:rPr>
          <w:rFonts w:ascii="Times New Roman" w:eastAsia="Times New Roman" w:hAnsi="Times New Roman" w:cs="Times New Roman"/>
          <w:b/>
          <w:bCs/>
          <w:kern w:val="0"/>
          <w:sz w:val="27"/>
          <w:szCs w:val="27"/>
          <w14:ligatures w14:val="none"/>
        </w:rPr>
        <w:t>Chlamydia and Gonorrhea</w:t>
      </w:r>
    </w:p>
    <w:p w14:paraId="0B0E1565" w14:textId="77777777" w:rsidR="00993551" w:rsidRPr="00993551" w:rsidRDefault="00993551" w:rsidP="00993551">
      <w:pPr>
        <w:spacing w:before="100" w:beforeAutospacing="1" w:after="100" w:afterAutospacing="1"/>
        <w:rPr>
          <w:rFonts w:ascii="Times New Roman" w:eastAsia="Times New Roman" w:hAnsi="Times New Roman" w:cs="Times New Roman"/>
          <w:kern w:val="0"/>
          <w14:ligatures w14:val="none"/>
        </w:rPr>
      </w:pPr>
      <w:r w:rsidRPr="00993551">
        <w:rPr>
          <w:rFonts w:ascii="Times New Roman" w:eastAsia="Times New Roman" w:hAnsi="Times New Roman" w:cs="Times New Roman"/>
          <w:kern w:val="0"/>
          <w14:ligatures w14:val="none"/>
        </w:rPr>
        <w:t xml:space="preserve">Females aged ≤35 years and males aged &lt;30 years housed in </w:t>
      </w:r>
      <w:proofErr w:type="gramStart"/>
      <w:r w:rsidRPr="00993551">
        <w:rPr>
          <w:rFonts w:ascii="Times New Roman" w:eastAsia="Times New Roman" w:hAnsi="Times New Roman" w:cs="Times New Roman"/>
          <w:kern w:val="0"/>
          <w14:ligatures w14:val="none"/>
        </w:rPr>
        <w:t>correctional facilities</w:t>
      </w:r>
      <w:proofErr w:type="gramEnd"/>
      <w:r w:rsidRPr="00993551">
        <w:rPr>
          <w:rFonts w:ascii="Times New Roman" w:eastAsia="Times New Roman" w:hAnsi="Times New Roman" w:cs="Times New Roman"/>
          <w:kern w:val="0"/>
          <w14:ligatures w14:val="none"/>
        </w:rPr>
        <w:t xml:space="preserve"> should be screened for chlamydia and gonorrhea. This screening should be conducted at intake and offered as opt-out screening.</w:t>
      </w:r>
    </w:p>
    <w:p w14:paraId="365778BE" w14:textId="77777777" w:rsidR="00993551" w:rsidRPr="00993551" w:rsidRDefault="00993551" w:rsidP="0099355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993551">
        <w:rPr>
          <w:rFonts w:ascii="Times New Roman" w:eastAsia="Times New Roman" w:hAnsi="Times New Roman" w:cs="Times New Roman"/>
          <w:b/>
          <w:bCs/>
          <w:kern w:val="0"/>
          <w:sz w:val="27"/>
          <w:szCs w:val="27"/>
          <w14:ligatures w14:val="none"/>
        </w:rPr>
        <w:t>Trichomonas</w:t>
      </w:r>
    </w:p>
    <w:p w14:paraId="54BFDB93" w14:textId="77777777" w:rsidR="00993551" w:rsidRPr="00993551" w:rsidRDefault="00993551" w:rsidP="00993551">
      <w:pPr>
        <w:spacing w:before="100" w:beforeAutospacing="1" w:after="100" w:afterAutospacing="1"/>
        <w:rPr>
          <w:rFonts w:ascii="Times New Roman" w:eastAsia="Times New Roman" w:hAnsi="Times New Roman" w:cs="Times New Roman"/>
          <w:kern w:val="0"/>
          <w14:ligatures w14:val="none"/>
        </w:rPr>
      </w:pPr>
      <w:r w:rsidRPr="00993551">
        <w:rPr>
          <w:rFonts w:ascii="Times New Roman" w:eastAsia="Times New Roman" w:hAnsi="Times New Roman" w:cs="Times New Roman"/>
          <w:kern w:val="0"/>
          <w14:ligatures w14:val="none"/>
        </w:rPr>
        <w:t xml:space="preserve">Females aged ≤35 years housed in </w:t>
      </w:r>
      <w:proofErr w:type="gramStart"/>
      <w:r w:rsidRPr="00993551">
        <w:rPr>
          <w:rFonts w:ascii="Times New Roman" w:eastAsia="Times New Roman" w:hAnsi="Times New Roman" w:cs="Times New Roman"/>
          <w:kern w:val="0"/>
          <w14:ligatures w14:val="none"/>
        </w:rPr>
        <w:t>correctional facilities</w:t>
      </w:r>
      <w:proofErr w:type="gramEnd"/>
      <w:r w:rsidRPr="00993551">
        <w:rPr>
          <w:rFonts w:ascii="Times New Roman" w:eastAsia="Times New Roman" w:hAnsi="Times New Roman" w:cs="Times New Roman"/>
          <w:kern w:val="0"/>
          <w14:ligatures w14:val="none"/>
        </w:rPr>
        <w:t xml:space="preserve"> should be screened for trichomonas. This screening should be conducted at intake and offered as opt-out screening.</w:t>
      </w:r>
    </w:p>
    <w:p w14:paraId="5F578C56" w14:textId="77777777" w:rsidR="00993551" w:rsidRPr="00993551" w:rsidRDefault="00993551" w:rsidP="0099355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993551">
        <w:rPr>
          <w:rFonts w:ascii="Times New Roman" w:eastAsia="Times New Roman" w:hAnsi="Times New Roman" w:cs="Times New Roman"/>
          <w:b/>
          <w:bCs/>
          <w:kern w:val="0"/>
          <w:sz w:val="27"/>
          <w:szCs w:val="27"/>
          <w14:ligatures w14:val="none"/>
        </w:rPr>
        <w:t>Syphilis</w:t>
      </w:r>
    </w:p>
    <w:p w14:paraId="3CAFBBB3" w14:textId="77777777" w:rsidR="00993551" w:rsidRPr="00993551" w:rsidRDefault="00993551" w:rsidP="00993551">
      <w:pPr>
        <w:spacing w:before="100" w:beforeAutospacing="1" w:after="100" w:afterAutospacing="1"/>
        <w:rPr>
          <w:rFonts w:ascii="Times New Roman" w:eastAsia="Times New Roman" w:hAnsi="Times New Roman" w:cs="Times New Roman"/>
          <w:kern w:val="0"/>
          <w14:ligatures w14:val="none"/>
        </w:rPr>
      </w:pPr>
      <w:r w:rsidRPr="00993551">
        <w:rPr>
          <w:rFonts w:ascii="Times New Roman" w:eastAsia="Times New Roman" w:hAnsi="Times New Roman" w:cs="Times New Roman"/>
          <w:kern w:val="0"/>
          <w14:ligatures w14:val="none"/>
        </w:rPr>
        <w:t xml:space="preserve">Opt-out screening for incarcerated persons should be conducted </w:t>
      </w:r>
      <w:proofErr w:type="gramStart"/>
      <w:r w:rsidRPr="00993551">
        <w:rPr>
          <w:rFonts w:ascii="Times New Roman" w:eastAsia="Times New Roman" w:hAnsi="Times New Roman" w:cs="Times New Roman"/>
          <w:kern w:val="0"/>
          <w14:ligatures w14:val="none"/>
        </w:rPr>
        <w:t>on the basis of</w:t>
      </w:r>
      <w:proofErr w:type="gramEnd"/>
      <w:r w:rsidRPr="00993551">
        <w:rPr>
          <w:rFonts w:ascii="Times New Roman" w:eastAsia="Times New Roman" w:hAnsi="Times New Roman" w:cs="Times New Roman"/>
          <w:kern w:val="0"/>
          <w14:ligatures w14:val="none"/>
        </w:rPr>
        <w:t xml:space="preserve"> the local area and institutional prevalence of early (primary, secondary, or early latent) infectious syphilis. </w:t>
      </w:r>
      <w:proofErr w:type="gramStart"/>
      <w:r w:rsidRPr="00993551">
        <w:rPr>
          <w:rFonts w:ascii="Times New Roman" w:eastAsia="Times New Roman" w:hAnsi="Times New Roman" w:cs="Times New Roman"/>
          <w:kern w:val="0"/>
          <w14:ligatures w14:val="none"/>
        </w:rPr>
        <w:t>Correctional facilities</w:t>
      </w:r>
      <w:proofErr w:type="gramEnd"/>
      <w:r w:rsidRPr="00993551">
        <w:rPr>
          <w:rFonts w:ascii="Times New Roman" w:eastAsia="Times New Roman" w:hAnsi="Times New Roman" w:cs="Times New Roman"/>
          <w:kern w:val="0"/>
          <w14:ligatures w14:val="none"/>
        </w:rPr>
        <w:t xml:space="preserve"> should stay apprised of local syphilis prevalence. In short-term facilities, screening at entry might be indicated.</w:t>
      </w:r>
    </w:p>
    <w:p w14:paraId="3CC0908D" w14:textId="77777777" w:rsidR="00993551" w:rsidRPr="00993551" w:rsidRDefault="00993551" w:rsidP="0099355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993551">
        <w:rPr>
          <w:rFonts w:ascii="Times New Roman" w:eastAsia="Times New Roman" w:hAnsi="Times New Roman" w:cs="Times New Roman"/>
          <w:b/>
          <w:bCs/>
          <w:kern w:val="0"/>
          <w:sz w:val="27"/>
          <w:szCs w:val="27"/>
          <w14:ligatures w14:val="none"/>
        </w:rPr>
        <w:t>Viral Hepatitis</w:t>
      </w:r>
    </w:p>
    <w:p w14:paraId="427658D9" w14:textId="77777777" w:rsidR="00993551" w:rsidRPr="00993551" w:rsidRDefault="00993551" w:rsidP="00993551">
      <w:pPr>
        <w:spacing w:before="100" w:beforeAutospacing="1" w:after="100" w:afterAutospacing="1"/>
        <w:rPr>
          <w:rFonts w:ascii="Times New Roman" w:eastAsia="Times New Roman" w:hAnsi="Times New Roman" w:cs="Times New Roman"/>
          <w:kern w:val="0"/>
          <w14:ligatures w14:val="none"/>
        </w:rPr>
      </w:pPr>
      <w:r w:rsidRPr="00993551">
        <w:rPr>
          <w:rFonts w:ascii="Times New Roman" w:eastAsia="Times New Roman" w:hAnsi="Times New Roman" w:cs="Times New Roman"/>
          <w:kern w:val="0"/>
          <w14:ligatures w14:val="none"/>
        </w:rPr>
        <w:t xml:space="preserve">All persons housed in juvenile and adult </w:t>
      </w:r>
      <w:proofErr w:type="gramStart"/>
      <w:r w:rsidRPr="00993551">
        <w:rPr>
          <w:rFonts w:ascii="Times New Roman" w:eastAsia="Times New Roman" w:hAnsi="Times New Roman" w:cs="Times New Roman"/>
          <w:kern w:val="0"/>
          <w14:ligatures w14:val="none"/>
        </w:rPr>
        <w:t>correctional facilities</w:t>
      </w:r>
      <w:proofErr w:type="gramEnd"/>
      <w:r w:rsidRPr="00993551">
        <w:rPr>
          <w:rFonts w:ascii="Times New Roman" w:eastAsia="Times New Roman" w:hAnsi="Times New Roman" w:cs="Times New Roman"/>
          <w:kern w:val="0"/>
          <w14:ligatures w14:val="none"/>
        </w:rPr>
        <w:t xml:space="preserve"> should be screened at entry for hepatitis B and hepatitis C. All persons who are susceptible to HBV infection should be offered hepatitis B vaccine, per ACIP recommendations (</w:t>
      </w:r>
      <w:hyperlink r:id="rId4" w:history="1">
        <w:r w:rsidRPr="00993551">
          <w:rPr>
            <w:rFonts w:ascii="Times New Roman" w:eastAsia="Times New Roman" w:hAnsi="Times New Roman" w:cs="Times New Roman"/>
            <w:color w:val="0000FF"/>
            <w:kern w:val="0"/>
            <w:u w:val="single"/>
            <w14:ligatures w14:val="none"/>
          </w:rPr>
          <w:t>https://www.cdc.gov/vaccines/hcp/acip-recs/vacc-specific/hepb.html</w:t>
        </w:r>
      </w:hyperlink>
      <w:r w:rsidRPr="00993551">
        <w:rPr>
          <w:rFonts w:ascii="Times New Roman" w:eastAsia="Times New Roman" w:hAnsi="Times New Roman" w:cs="Times New Roman"/>
          <w:kern w:val="0"/>
          <w14:ligatures w14:val="none"/>
        </w:rPr>
        <w:t>). During outbreaks in the facility or the surrounding community, all unvaccinated persons should be offered the hepatitis A vaccine; regardless of outbreak conditions, all persons who are at risk for HAV infection or severe disease should be offered hepatitis A vaccine, per ACIP recommendations (</w:t>
      </w:r>
      <w:hyperlink r:id="rId5" w:history="1">
        <w:r w:rsidRPr="00993551">
          <w:rPr>
            <w:rFonts w:ascii="Times New Roman" w:eastAsia="Times New Roman" w:hAnsi="Times New Roman" w:cs="Times New Roman"/>
            <w:color w:val="0000FF"/>
            <w:kern w:val="0"/>
            <w:u w:val="single"/>
            <w14:ligatures w14:val="none"/>
          </w:rPr>
          <w:t>https://www.cdc.gov/vaccines/hcp/acip-recs/vacc-specific/hepa.html</w:t>
        </w:r>
      </w:hyperlink>
      <w:r w:rsidRPr="00993551">
        <w:rPr>
          <w:rFonts w:ascii="Times New Roman" w:eastAsia="Times New Roman" w:hAnsi="Times New Roman" w:cs="Times New Roman"/>
          <w:kern w:val="0"/>
          <w14:ligatures w14:val="none"/>
        </w:rPr>
        <w:t>.</w:t>
      </w:r>
    </w:p>
    <w:p w14:paraId="513B5EB0" w14:textId="77777777" w:rsidR="00993551" w:rsidRPr="00993551" w:rsidRDefault="00993551" w:rsidP="0099355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993551">
        <w:rPr>
          <w:rFonts w:ascii="Times New Roman" w:eastAsia="Times New Roman" w:hAnsi="Times New Roman" w:cs="Times New Roman"/>
          <w:b/>
          <w:bCs/>
          <w:kern w:val="0"/>
          <w:sz w:val="27"/>
          <w:szCs w:val="27"/>
          <w14:ligatures w14:val="none"/>
        </w:rPr>
        <w:t>Cervical Cancer</w:t>
      </w:r>
    </w:p>
    <w:p w14:paraId="6DAC6851" w14:textId="77777777" w:rsidR="00993551" w:rsidRPr="00993551" w:rsidRDefault="00993551" w:rsidP="00993551">
      <w:pPr>
        <w:spacing w:before="100" w:beforeAutospacing="1" w:after="100" w:afterAutospacing="1"/>
        <w:rPr>
          <w:rFonts w:ascii="Times New Roman" w:eastAsia="Times New Roman" w:hAnsi="Times New Roman" w:cs="Times New Roman"/>
          <w:kern w:val="0"/>
          <w14:ligatures w14:val="none"/>
        </w:rPr>
      </w:pPr>
      <w:r w:rsidRPr="00993551">
        <w:rPr>
          <w:rFonts w:ascii="Times New Roman" w:eastAsia="Times New Roman" w:hAnsi="Times New Roman" w:cs="Times New Roman"/>
          <w:kern w:val="0"/>
          <w14:ligatures w14:val="none"/>
        </w:rPr>
        <w:t xml:space="preserve">Women and transgender men who are housed in </w:t>
      </w:r>
      <w:proofErr w:type="gramStart"/>
      <w:r w:rsidRPr="00993551">
        <w:rPr>
          <w:rFonts w:ascii="Times New Roman" w:eastAsia="Times New Roman" w:hAnsi="Times New Roman" w:cs="Times New Roman"/>
          <w:kern w:val="0"/>
          <w14:ligatures w14:val="none"/>
        </w:rPr>
        <w:t>correctional facilities</w:t>
      </w:r>
      <w:proofErr w:type="gramEnd"/>
      <w:r w:rsidRPr="00993551">
        <w:rPr>
          <w:rFonts w:ascii="Times New Roman" w:eastAsia="Times New Roman" w:hAnsi="Times New Roman" w:cs="Times New Roman"/>
          <w:kern w:val="0"/>
          <w14:ligatures w14:val="none"/>
        </w:rPr>
        <w:t xml:space="preserve"> should be screened for cervical cancer as for women who are not incarcerated (</w:t>
      </w:r>
      <w:r w:rsidRPr="00993551">
        <w:rPr>
          <w:rFonts w:ascii="Times New Roman" w:eastAsia="Times New Roman" w:hAnsi="Times New Roman" w:cs="Times New Roman"/>
          <w:i/>
          <w:iCs/>
          <w:kern w:val="0"/>
          <w14:ligatures w14:val="none"/>
        </w:rPr>
        <w:t>393</w:t>
      </w:r>
      <w:r w:rsidRPr="00993551">
        <w:rPr>
          <w:rFonts w:ascii="Times New Roman" w:eastAsia="Times New Roman" w:hAnsi="Times New Roman" w:cs="Times New Roman"/>
          <w:kern w:val="0"/>
          <w14:ligatures w14:val="none"/>
        </w:rPr>
        <w:t>,</w:t>
      </w:r>
      <w:r w:rsidRPr="00993551">
        <w:rPr>
          <w:rFonts w:ascii="Times New Roman" w:eastAsia="Times New Roman" w:hAnsi="Times New Roman" w:cs="Times New Roman"/>
          <w:i/>
          <w:iCs/>
          <w:kern w:val="0"/>
          <w14:ligatures w14:val="none"/>
        </w:rPr>
        <w:t>394</w:t>
      </w:r>
      <w:r w:rsidRPr="00993551">
        <w:rPr>
          <w:rFonts w:ascii="Times New Roman" w:eastAsia="Times New Roman" w:hAnsi="Times New Roman" w:cs="Times New Roman"/>
          <w:kern w:val="0"/>
          <w14:ligatures w14:val="none"/>
        </w:rPr>
        <w:t>) (see Cervical Cancer).</w:t>
      </w:r>
    </w:p>
    <w:p w14:paraId="0A2AD83A" w14:textId="77777777" w:rsidR="00993551" w:rsidRPr="00993551" w:rsidRDefault="00993551" w:rsidP="0099355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993551">
        <w:rPr>
          <w:rFonts w:ascii="Times New Roman" w:eastAsia="Times New Roman" w:hAnsi="Times New Roman" w:cs="Times New Roman"/>
          <w:b/>
          <w:bCs/>
          <w:kern w:val="0"/>
          <w:sz w:val="27"/>
          <w:szCs w:val="27"/>
          <w14:ligatures w14:val="none"/>
        </w:rPr>
        <w:t>HIV Infection</w:t>
      </w:r>
    </w:p>
    <w:p w14:paraId="28B5D2A8" w14:textId="77777777" w:rsidR="00993551" w:rsidRPr="00993551" w:rsidRDefault="00993551" w:rsidP="00993551">
      <w:pPr>
        <w:spacing w:before="100" w:beforeAutospacing="1" w:after="100" w:afterAutospacing="1"/>
        <w:rPr>
          <w:rFonts w:ascii="Times New Roman" w:eastAsia="Times New Roman" w:hAnsi="Times New Roman" w:cs="Times New Roman"/>
          <w:kern w:val="0"/>
          <w14:ligatures w14:val="none"/>
        </w:rPr>
      </w:pPr>
      <w:r w:rsidRPr="00993551">
        <w:rPr>
          <w:rFonts w:ascii="Times New Roman" w:eastAsia="Times New Roman" w:hAnsi="Times New Roman" w:cs="Times New Roman"/>
          <w:kern w:val="0"/>
          <w14:ligatures w14:val="none"/>
        </w:rPr>
        <w:t xml:space="preserve">All persons being housed in juvenile and adult </w:t>
      </w:r>
      <w:proofErr w:type="gramStart"/>
      <w:r w:rsidRPr="00993551">
        <w:rPr>
          <w:rFonts w:ascii="Times New Roman" w:eastAsia="Times New Roman" w:hAnsi="Times New Roman" w:cs="Times New Roman"/>
          <w:kern w:val="0"/>
          <w14:ligatures w14:val="none"/>
        </w:rPr>
        <w:t>correctional facilities</w:t>
      </w:r>
      <w:proofErr w:type="gramEnd"/>
      <w:r w:rsidRPr="00993551">
        <w:rPr>
          <w:rFonts w:ascii="Times New Roman" w:eastAsia="Times New Roman" w:hAnsi="Times New Roman" w:cs="Times New Roman"/>
          <w:kern w:val="0"/>
          <w14:ligatures w14:val="none"/>
        </w:rPr>
        <w:t xml:space="preserve"> should be screened at entry for HIV infection; screening should be offered as opt-out screening. For those identified as being </w:t>
      </w:r>
      <w:r w:rsidRPr="00993551">
        <w:rPr>
          <w:rFonts w:ascii="Times New Roman" w:eastAsia="Times New Roman" w:hAnsi="Times New Roman" w:cs="Times New Roman"/>
          <w:kern w:val="0"/>
          <w14:ligatures w14:val="none"/>
        </w:rPr>
        <w:lastRenderedPageBreak/>
        <w:t xml:space="preserve">at risk for HIV infection (e.g., with diagnosed gonorrhea or syphilis or persons who inject drugs) and being released into the community, starting HIV </w:t>
      </w:r>
      <w:proofErr w:type="spellStart"/>
      <w:r w:rsidRPr="00993551">
        <w:rPr>
          <w:rFonts w:ascii="Times New Roman" w:eastAsia="Times New Roman" w:hAnsi="Times New Roman" w:cs="Times New Roman"/>
          <w:kern w:val="0"/>
          <w14:ligatures w14:val="none"/>
        </w:rPr>
        <w:t>PrEP</w:t>
      </w:r>
      <w:proofErr w:type="spellEnd"/>
      <w:r w:rsidRPr="00993551">
        <w:rPr>
          <w:rFonts w:ascii="Times New Roman" w:eastAsia="Times New Roman" w:hAnsi="Times New Roman" w:cs="Times New Roman"/>
          <w:kern w:val="0"/>
          <w14:ligatures w14:val="none"/>
        </w:rPr>
        <w:t xml:space="preserve"> (or providing linkage to a community clinic for HIV </w:t>
      </w:r>
      <w:proofErr w:type="spellStart"/>
      <w:r w:rsidRPr="00993551">
        <w:rPr>
          <w:rFonts w:ascii="Times New Roman" w:eastAsia="Times New Roman" w:hAnsi="Times New Roman" w:cs="Times New Roman"/>
          <w:kern w:val="0"/>
          <w14:ligatures w14:val="none"/>
        </w:rPr>
        <w:t>PrEP</w:t>
      </w:r>
      <w:proofErr w:type="spellEnd"/>
      <w:r w:rsidRPr="00993551">
        <w:rPr>
          <w:rFonts w:ascii="Times New Roman" w:eastAsia="Times New Roman" w:hAnsi="Times New Roman" w:cs="Times New Roman"/>
          <w:kern w:val="0"/>
          <w14:ligatures w14:val="none"/>
        </w:rPr>
        <w:t>) for HIV prevention should be considered (</w:t>
      </w:r>
      <w:r w:rsidRPr="00993551">
        <w:rPr>
          <w:rFonts w:ascii="Times New Roman" w:eastAsia="Times New Roman" w:hAnsi="Times New Roman" w:cs="Times New Roman"/>
          <w:i/>
          <w:iCs/>
          <w:kern w:val="0"/>
          <w14:ligatures w14:val="none"/>
        </w:rPr>
        <w:t>395</w:t>
      </w:r>
      <w:r w:rsidRPr="00993551">
        <w:rPr>
          <w:rFonts w:ascii="Times New Roman" w:eastAsia="Times New Roman" w:hAnsi="Times New Roman" w:cs="Times New Roman"/>
          <w:kern w:val="0"/>
          <w14:ligatures w14:val="none"/>
        </w:rPr>
        <w:t>,</w:t>
      </w:r>
      <w:r w:rsidRPr="00993551">
        <w:rPr>
          <w:rFonts w:ascii="Times New Roman" w:eastAsia="Times New Roman" w:hAnsi="Times New Roman" w:cs="Times New Roman"/>
          <w:i/>
          <w:iCs/>
          <w:kern w:val="0"/>
          <w14:ligatures w14:val="none"/>
        </w:rPr>
        <w:t>396</w:t>
      </w:r>
      <w:r w:rsidRPr="00993551">
        <w:rPr>
          <w:rFonts w:ascii="Times New Roman" w:eastAsia="Times New Roman" w:hAnsi="Times New Roman" w:cs="Times New Roman"/>
          <w:kern w:val="0"/>
          <w14:ligatures w14:val="none"/>
        </w:rPr>
        <w:t>). Persons are likely to engage in high-risk activities immediately after release from incarceration (</w:t>
      </w:r>
      <w:r w:rsidRPr="00993551">
        <w:rPr>
          <w:rFonts w:ascii="Times New Roman" w:eastAsia="Times New Roman" w:hAnsi="Times New Roman" w:cs="Times New Roman"/>
          <w:i/>
          <w:iCs/>
          <w:kern w:val="0"/>
          <w14:ligatures w14:val="none"/>
        </w:rPr>
        <w:t>397</w:t>
      </w:r>
      <w:r w:rsidRPr="00993551">
        <w:rPr>
          <w:rFonts w:ascii="Times New Roman" w:eastAsia="Times New Roman" w:hAnsi="Times New Roman" w:cs="Times New Roman"/>
          <w:kern w:val="0"/>
          <w14:ligatures w14:val="none"/>
        </w:rPr>
        <w:t xml:space="preserve">). For those identified with HIV infection, treatment should be initiated. Those persons receiving </w:t>
      </w:r>
      <w:proofErr w:type="spellStart"/>
      <w:r w:rsidRPr="00993551">
        <w:rPr>
          <w:rFonts w:ascii="Times New Roman" w:eastAsia="Times New Roman" w:hAnsi="Times New Roman" w:cs="Times New Roman"/>
          <w:kern w:val="0"/>
          <w14:ligatures w14:val="none"/>
        </w:rPr>
        <w:t>PrEP</w:t>
      </w:r>
      <w:proofErr w:type="spellEnd"/>
      <w:r w:rsidRPr="00993551">
        <w:rPr>
          <w:rFonts w:ascii="Times New Roman" w:eastAsia="Times New Roman" w:hAnsi="Times New Roman" w:cs="Times New Roman"/>
          <w:kern w:val="0"/>
          <w14:ligatures w14:val="none"/>
        </w:rPr>
        <w:t xml:space="preserve"> or HIV treatment should have linkage to care established before release. Correctional settings should consider implementing other </w:t>
      </w:r>
      <w:proofErr w:type="spellStart"/>
      <w:r w:rsidRPr="00993551">
        <w:rPr>
          <w:rFonts w:ascii="Times New Roman" w:eastAsia="Times New Roman" w:hAnsi="Times New Roman" w:cs="Times New Roman"/>
          <w:kern w:val="0"/>
          <w14:ligatures w14:val="none"/>
        </w:rPr>
        <w:t>STI</w:t>
      </w:r>
      <w:proofErr w:type="spellEnd"/>
      <w:r w:rsidRPr="00993551">
        <w:rPr>
          <w:rFonts w:ascii="Times New Roman" w:eastAsia="Times New Roman" w:hAnsi="Times New Roman" w:cs="Times New Roman"/>
          <w:kern w:val="0"/>
          <w14:ligatures w14:val="none"/>
        </w:rPr>
        <w:t xml:space="preserve"> prevention approaches, both during incarceration and upon release, which might include educational and behavioral counseling interventions (</w:t>
      </w:r>
      <w:r w:rsidRPr="00993551">
        <w:rPr>
          <w:rFonts w:ascii="Times New Roman" w:eastAsia="Times New Roman" w:hAnsi="Times New Roman" w:cs="Times New Roman"/>
          <w:i/>
          <w:iCs/>
          <w:kern w:val="0"/>
          <w14:ligatures w14:val="none"/>
        </w:rPr>
        <w:t>398</w:t>
      </w:r>
      <w:r w:rsidRPr="00993551">
        <w:rPr>
          <w:rFonts w:ascii="Times New Roman" w:eastAsia="Times New Roman" w:hAnsi="Times New Roman" w:cs="Times New Roman"/>
          <w:kern w:val="0"/>
          <w14:ligatures w14:val="none"/>
        </w:rPr>
        <w:t>–</w:t>
      </w:r>
      <w:r w:rsidRPr="00993551">
        <w:rPr>
          <w:rFonts w:ascii="Times New Roman" w:eastAsia="Times New Roman" w:hAnsi="Times New Roman" w:cs="Times New Roman"/>
          <w:i/>
          <w:iCs/>
          <w:kern w:val="0"/>
          <w14:ligatures w14:val="none"/>
        </w:rPr>
        <w:t>401</w:t>
      </w:r>
      <w:r w:rsidRPr="00993551">
        <w:rPr>
          <w:rFonts w:ascii="Times New Roman" w:eastAsia="Times New Roman" w:hAnsi="Times New Roman" w:cs="Times New Roman"/>
          <w:kern w:val="0"/>
          <w14:ligatures w14:val="none"/>
        </w:rPr>
        <w:t>), vaccination (e.g., for HPV) (</w:t>
      </w:r>
      <w:r w:rsidRPr="00993551">
        <w:rPr>
          <w:rFonts w:ascii="Times New Roman" w:eastAsia="Times New Roman" w:hAnsi="Times New Roman" w:cs="Times New Roman"/>
          <w:i/>
          <w:iCs/>
          <w:kern w:val="0"/>
          <w14:ligatures w14:val="none"/>
        </w:rPr>
        <w:t>402</w:t>
      </w:r>
      <w:r w:rsidRPr="00993551">
        <w:rPr>
          <w:rFonts w:ascii="Times New Roman" w:eastAsia="Times New Roman" w:hAnsi="Times New Roman" w:cs="Times New Roman"/>
          <w:kern w:val="0"/>
          <w14:ligatures w14:val="none"/>
        </w:rPr>
        <w:t>,</w:t>
      </w:r>
      <w:r w:rsidRPr="00993551">
        <w:rPr>
          <w:rFonts w:ascii="Times New Roman" w:eastAsia="Times New Roman" w:hAnsi="Times New Roman" w:cs="Times New Roman"/>
          <w:i/>
          <w:iCs/>
          <w:kern w:val="0"/>
          <w14:ligatures w14:val="none"/>
        </w:rPr>
        <w:t>403</w:t>
      </w:r>
      <w:r w:rsidRPr="00993551">
        <w:rPr>
          <w:rFonts w:ascii="Times New Roman" w:eastAsia="Times New Roman" w:hAnsi="Times New Roman" w:cs="Times New Roman"/>
          <w:kern w:val="0"/>
          <w14:ligatures w14:val="none"/>
        </w:rPr>
        <w:t>), condom distribution (</w:t>
      </w:r>
      <w:r w:rsidRPr="00993551">
        <w:rPr>
          <w:rFonts w:ascii="Times New Roman" w:eastAsia="Times New Roman" w:hAnsi="Times New Roman" w:cs="Times New Roman"/>
          <w:i/>
          <w:iCs/>
          <w:kern w:val="0"/>
          <w14:ligatures w14:val="none"/>
        </w:rPr>
        <w:t>404</w:t>
      </w:r>
      <w:r w:rsidRPr="00993551">
        <w:rPr>
          <w:rFonts w:ascii="Times New Roman" w:eastAsia="Times New Roman" w:hAnsi="Times New Roman" w:cs="Times New Roman"/>
          <w:kern w:val="0"/>
          <w14:ligatures w14:val="none"/>
        </w:rPr>
        <w:t>,</w:t>
      </w:r>
      <w:r w:rsidRPr="00993551">
        <w:rPr>
          <w:rFonts w:ascii="Times New Roman" w:eastAsia="Times New Roman" w:hAnsi="Times New Roman" w:cs="Times New Roman"/>
          <w:i/>
          <w:iCs/>
          <w:kern w:val="0"/>
          <w14:ligatures w14:val="none"/>
        </w:rPr>
        <w:t>405</w:t>
      </w:r>
      <w:r w:rsidRPr="00993551">
        <w:rPr>
          <w:rFonts w:ascii="Times New Roman" w:eastAsia="Times New Roman" w:hAnsi="Times New Roman" w:cs="Times New Roman"/>
          <w:kern w:val="0"/>
          <w14:ligatures w14:val="none"/>
        </w:rPr>
        <w:t xml:space="preserve">), </w:t>
      </w:r>
      <w:proofErr w:type="spellStart"/>
      <w:r w:rsidRPr="00993551">
        <w:rPr>
          <w:rFonts w:ascii="Times New Roman" w:eastAsia="Times New Roman" w:hAnsi="Times New Roman" w:cs="Times New Roman"/>
          <w:kern w:val="0"/>
          <w14:ligatures w14:val="none"/>
        </w:rPr>
        <w:t>EPT</w:t>
      </w:r>
      <w:proofErr w:type="spellEnd"/>
      <w:r w:rsidRPr="00993551">
        <w:rPr>
          <w:rFonts w:ascii="Times New Roman" w:eastAsia="Times New Roman" w:hAnsi="Times New Roman" w:cs="Times New Roman"/>
          <w:kern w:val="0"/>
          <w14:ligatures w14:val="none"/>
        </w:rPr>
        <w:t xml:space="preserve"> (</w:t>
      </w:r>
      <w:r w:rsidRPr="00993551">
        <w:rPr>
          <w:rFonts w:ascii="Times New Roman" w:eastAsia="Times New Roman" w:hAnsi="Times New Roman" w:cs="Times New Roman"/>
          <w:i/>
          <w:iCs/>
          <w:kern w:val="0"/>
          <w14:ligatures w14:val="none"/>
        </w:rPr>
        <w:t>125</w:t>
      </w:r>
      <w:r w:rsidRPr="00993551">
        <w:rPr>
          <w:rFonts w:ascii="Times New Roman" w:eastAsia="Times New Roman" w:hAnsi="Times New Roman" w:cs="Times New Roman"/>
          <w:kern w:val="0"/>
          <w14:ligatures w14:val="none"/>
        </w:rPr>
        <w:t xml:space="preserve">), and </w:t>
      </w:r>
      <w:proofErr w:type="spellStart"/>
      <w:r w:rsidRPr="00993551">
        <w:rPr>
          <w:rFonts w:ascii="Times New Roman" w:eastAsia="Times New Roman" w:hAnsi="Times New Roman" w:cs="Times New Roman"/>
          <w:kern w:val="0"/>
          <w14:ligatures w14:val="none"/>
        </w:rPr>
        <w:t>PrEP</w:t>
      </w:r>
      <w:proofErr w:type="spellEnd"/>
      <w:r w:rsidRPr="00993551">
        <w:rPr>
          <w:rFonts w:ascii="Times New Roman" w:eastAsia="Times New Roman" w:hAnsi="Times New Roman" w:cs="Times New Roman"/>
          <w:kern w:val="0"/>
          <w14:ligatures w14:val="none"/>
        </w:rPr>
        <w:t xml:space="preserve"> to prevent HIV infection (see Primary Prevention Methods).</w:t>
      </w:r>
    </w:p>
    <w:p w14:paraId="6403BC54" w14:textId="77777777" w:rsidR="005A2A2B" w:rsidRPr="00993551" w:rsidRDefault="005A2A2B" w:rsidP="005A2A2B">
      <w:pPr>
        <w:rPr>
          <w:rFonts w:ascii="Times New Roman" w:eastAsia="Times New Roman" w:hAnsi="Times New Roman" w:cs="Times New Roman"/>
          <w:kern w:val="0"/>
          <w14:ligatures w14:val="none"/>
        </w:rPr>
      </w:pPr>
      <w:r w:rsidRPr="00993551">
        <w:rPr>
          <w:rFonts w:ascii="Times New Roman" w:eastAsia="Times New Roman" w:hAnsi="Times New Roman" w:cs="Times New Roman"/>
          <w:kern w:val="0"/>
          <w14:ligatures w14:val="none"/>
        </w:rPr>
        <w:t xml:space="preserve">Last Reviewed: September 21, 2022 </w:t>
      </w:r>
    </w:p>
    <w:p w14:paraId="7E5CD7ED" w14:textId="77777777" w:rsidR="005A2A2B" w:rsidRPr="00993551" w:rsidRDefault="005A2A2B" w:rsidP="005A2A2B">
      <w:pPr>
        <w:rPr>
          <w:rFonts w:ascii="Times New Roman" w:eastAsia="Times New Roman" w:hAnsi="Times New Roman" w:cs="Times New Roman"/>
          <w:kern w:val="0"/>
          <w14:ligatures w14:val="none"/>
        </w:rPr>
      </w:pPr>
      <w:r w:rsidRPr="00993551">
        <w:rPr>
          <w:rFonts w:ascii="Times New Roman" w:eastAsia="Times New Roman" w:hAnsi="Times New Roman" w:cs="Times New Roman"/>
          <w:kern w:val="0"/>
          <w14:ligatures w14:val="none"/>
        </w:rPr>
        <w:t xml:space="preserve">Source: </w:t>
      </w:r>
      <w:hyperlink r:id="rId6" w:history="1">
        <w:r w:rsidRPr="00993551">
          <w:rPr>
            <w:rFonts w:ascii="Times New Roman" w:eastAsia="Times New Roman" w:hAnsi="Times New Roman" w:cs="Times New Roman"/>
            <w:color w:val="0000FF"/>
            <w:kern w:val="0"/>
            <w:u w:val="single"/>
            <w14:ligatures w14:val="none"/>
          </w:rPr>
          <w:t>Division of STD Prevention</w:t>
        </w:r>
      </w:hyperlink>
      <w:r w:rsidRPr="00993551">
        <w:rPr>
          <w:rFonts w:ascii="Times New Roman" w:eastAsia="Times New Roman" w:hAnsi="Times New Roman" w:cs="Times New Roman"/>
          <w:kern w:val="0"/>
          <w14:ligatures w14:val="none"/>
        </w:rPr>
        <w:t xml:space="preserve">, </w:t>
      </w:r>
      <w:hyperlink r:id="rId7" w:history="1">
        <w:r w:rsidRPr="00993551">
          <w:rPr>
            <w:rFonts w:ascii="Times New Roman" w:eastAsia="Times New Roman" w:hAnsi="Times New Roman" w:cs="Times New Roman"/>
            <w:color w:val="0000FF"/>
            <w:kern w:val="0"/>
            <w:u w:val="single"/>
            <w14:ligatures w14:val="none"/>
          </w:rPr>
          <w:t>National Center for HIV, Viral Hepatitis, STD, and TB Prevention</w:t>
        </w:r>
      </w:hyperlink>
      <w:r w:rsidRPr="00993551">
        <w:rPr>
          <w:rFonts w:ascii="Times New Roman" w:eastAsia="Times New Roman" w:hAnsi="Times New Roman" w:cs="Times New Roman"/>
          <w:kern w:val="0"/>
          <w14:ligatures w14:val="none"/>
        </w:rPr>
        <w:t xml:space="preserve">, </w:t>
      </w:r>
      <w:hyperlink r:id="rId8" w:history="1">
        <w:r w:rsidRPr="00993551">
          <w:rPr>
            <w:rFonts w:ascii="Times New Roman" w:eastAsia="Times New Roman" w:hAnsi="Times New Roman" w:cs="Times New Roman"/>
            <w:color w:val="0000FF"/>
            <w:kern w:val="0"/>
            <w:u w:val="single"/>
            <w14:ligatures w14:val="none"/>
          </w:rPr>
          <w:t>Centers for Disease Control and Prevention</w:t>
        </w:r>
      </w:hyperlink>
      <w:r w:rsidRPr="00993551">
        <w:rPr>
          <w:rFonts w:ascii="Times New Roman" w:eastAsia="Times New Roman" w:hAnsi="Times New Roman" w:cs="Times New Roman"/>
          <w:kern w:val="0"/>
          <w14:ligatures w14:val="none"/>
        </w:rPr>
        <w:t xml:space="preserve"> </w:t>
      </w:r>
    </w:p>
    <w:p w14:paraId="100ED071" w14:textId="77777777" w:rsidR="00993551" w:rsidRPr="005A2A2B" w:rsidRDefault="00993551" w:rsidP="00993551">
      <w:pPr>
        <w:rPr>
          <w:rFonts w:ascii="Times New Roman" w:hAnsi="Times New Roman" w:cs="Times New Roman"/>
        </w:rPr>
      </w:pPr>
    </w:p>
    <w:sectPr w:rsidR="00993551" w:rsidRPr="005A2A2B" w:rsidSect="004A0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51"/>
    <w:rsid w:val="001B05A2"/>
    <w:rsid w:val="001D56CC"/>
    <w:rsid w:val="00444AB9"/>
    <w:rsid w:val="004A0583"/>
    <w:rsid w:val="004E0E8E"/>
    <w:rsid w:val="005923D3"/>
    <w:rsid w:val="005A2A2B"/>
    <w:rsid w:val="00732A68"/>
    <w:rsid w:val="007D2FE5"/>
    <w:rsid w:val="007D4A37"/>
    <w:rsid w:val="007E72F8"/>
    <w:rsid w:val="00993551"/>
    <w:rsid w:val="00A619C3"/>
    <w:rsid w:val="00BB3BB1"/>
    <w:rsid w:val="00D8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292F"/>
  <w15:chartTrackingRefBased/>
  <w15:docId w15:val="{D57E8374-43AC-BF49-B5DF-B01B91CC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355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93551"/>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99355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55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93551"/>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993551"/>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993551"/>
    <w:rPr>
      <w:color w:val="0000FF"/>
      <w:u w:val="single"/>
    </w:rPr>
  </w:style>
  <w:style w:type="paragraph" w:styleId="NormalWeb">
    <w:name w:val="Normal (Web)"/>
    <w:basedOn w:val="Normal"/>
    <w:uiPriority w:val="99"/>
    <w:semiHidden/>
    <w:unhideWhenUsed/>
    <w:rsid w:val="00993551"/>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935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562">
      <w:bodyDiv w:val="1"/>
      <w:marLeft w:val="0"/>
      <w:marRight w:val="0"/>
      <w:marTop w:val="0"/>
      <w:marBottom w:val="0"/>
      <w:divBdr>
        <w:top w:val="none" w:sz="0" w:space="0" w:color="auto"/>
        <w:left w:val="none" w:sz="0" w:space="0" w:color="auto"/>
        <w:bottom w:val="none" w:sz="0" w:space="0" w:color="auto"/>
        <w:right w:val="none" w:sz="0" w:space="0" w:color="auto"/>
      </w:divBdr>
      <w:divsChild>
        <w:div w:id="189143949">
          <w:marLeft w:val="0"/>
          <w:marRight w:val="0"/>
          <w:marTop w:val="0"/>
          <w:marBottom w:val="0"/>
          <w:divBdr>
            <w:top w:val="none" w:sz="0" w:space="0" w:color="auto"/>
            <w:left w:val="none" w:sz="0" w:space="0" w:color="auto"/>
            <w:bottom w:val="none" w:sz="0" w:space="0" w:color="auto"/>
            <w:right w:val="none" w:sz="0" w:space="0" w:color="auto"/>
          </w:divBdr>
        </w:div>
      </w:divsChild>
    </w:div>
    <w:div w:id="1215046766">
      <w:bodyDiv w:val="1"/>
      <w:marLeft w:val="0"/>
      <w:marRight w:val="0"/>
      <w:marTop w:val="0"/>
      <w:marBottom w:val="0"/>
      <w:divBdr>
        <w:top w:val="none" w:sz="0" w:space="0" w:color="auto"/>
        <w:left w:val="none" w:sz="0" w:space="0" w:color="auto"/>
        <w:bottom w:val="none" w:sz="0" w:space="0" w:color="auto"/>
        <w:right w:val="none" w:sz="0" w:space="0" w:color="auto"/>
      </w:divBdr>
    </w:div>
    <w:div w:id="1612857845">
      <w:bodyDiv w:val="1"/>
      <w:marLeft w:val="0"/>
      <w:marRight w:val="0"/>
      <w:marTop w:val="0"/>
      <w:marBottom w:val="0"/>
      <w:divBdr>
        <w:top w:val="none" w:sz="0" w:space="0" w:color="auto"/>
        <w:left w:val="none" w:sz="0" w:space="0" w:color="auto"/>
        <w:bottom w:val="none" w:sz="0" w:space="0" w:color="auto"/>
        <w:right w:val="none" w:sz="0" w:space="0" w:color="auto"/>
      </w:divBdr>
      <w:divsChild>
        <w:div w:id="1652714017">
          <w:marLeft w:val="0"/>
          <w:marRight w:val="0"/>
          <w:marTop w:val="0"/>
          <w:marBottom w:val="0"/>
          <w:divBdr>
            <w:top w:val="none" w:sz="0" w:space="0" w:color="auto"/>
            <w:left w:val="none" w:sz="0" w:space="0" w:color="auto"/>
            <w:bottom w:val="none" w:sz="0" w:space="0" w:color="auto"/>
            <w:right w:val="none" w:sz="0" w:space="0" w:color="auto"/>
          </w:divBdr>
        </w:div>
        <w:div w:id="1595746376">
          <w:marLeft w:val="0"/>
          <w:marRight w:val="0"/>
          <w:marTop w:val="0"/>
          <w:marBottom w:val="0"/>
          <w:divBdr>
            <w:top w:val="none" w:sz="0" w:space="0" w:color="auto"/>
            <w:left w:val="none" w:sz="0" w:space="0" w:color="auto"/>
            <w:bottom w:val="none" w:sz="0" w:space="0" w:color="auto"/>
            <w:right w:val="none" w:sz="0" w:space="0" w:color="auto"/>
          </w:divBdr>
          <w:divsChild>
            <w:div w:id="1148204618">
              <w:marLeft w:val="0"/>
              <w:marRight w:val="0"/>
              <w:marTop w:val="0"/>
              <w:marBottom w:val="0"/>
              <w:divBdr>
                <w:top w:val="none" w:sz="0" w:space="0" w:color="auto"/>
                <w:left w:val="none" w:sz="0" w:space="0" w:color="auto"/>
                <w:bottom w:val="none" w:sz="0" w:space="0" w:color="auto"/>
                <w:right w:val="none" w:sz="0" w:space="0" w:color="auto"/>
              </w:divBdr>
              <w:divsChild>
                <w:div w:id="6547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 TargetMode="External"/><Relationship Id="rId3" Type="http://schemas.openxmlformats.org/officeDocument/2006/relationships/webSettings" Target="webSettings.xml"/><Relationship Id="rId7" Type="http://schemas.openxmlformats.org/officeDocument/2006/relationships/hyperlink" Target="https://www.cdc.gov/nchhst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std/dstdp" TargetMode="External"/><Relationship Id="rId5" Type="http://schemas.openxmlformats.org/officeDocument/2006/relationships/hyperlink" Target="https://www.cdc.gov/vaccines/hcp/acip-recs/vacc-specific/hepa.html)" TargetMode="External"/><Relationship Id="rId10" Type="http://schemas.openxmlformats.org/officeDocument/2006/relationships/theme" Target="theme/theme1.xml"/><Relationship Id="rId4" Type="http://schemas.openxmlformats.org/officeDocument/2006/relationships/hyperlink" Target="https://www.cdc.gov/vaccines/hcp/acip-recs/vacc-specific/hepb.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Late</dc:creator>
  <cp:keywords/>
  <dc:description/>
  <cp:lastModifiedBy>Karen Late</cp:lastModifiedBy>
  <cp:revision>2</cp:revision>
  <dcterms:created xsi:type="dcterms:W3CDTF">2024-04-03T21:20:00Z</dcterms:created>
  <dcterms:modified xsi:type="dcterms:W3CDTF">2024-04-03T21:22:00Z</dcterms:modified>
</cp:coreProperties>
</file>