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49" w:rsidRDefault="00582E49" w:rsidP="00582E49">
      <w:pPr>
        <w:jc w:val="center"/>
        <w:rPr>
          <w:b/>
          <w:sz w:val="26"/>
        </w:rPr>
      </w:pPr>
    </w:p>
    <w:p w:rsidR="00582E49" w:rsidRDefault="00582E49" w:rsidP="00582E49">
      <w:pPr>
        <w:jc w:val="center"/>
        <w:rPr>
          <w:b/>
          <w:sz w:val="26"/>
        </w:rPr>
      </w:pPr>
    </w:p>
    <w:p w:rsidR="00582E49" w:rsidRPr="00582E49" w:rsidRDefault="00582E49" w:rsidP="00582E49">
      <w:pPr>
        <w:jc w:val="center"/>
        <w:rPr>
          <w:b/>
          <w:sz w:val="26"/>
        </w:rPr>
      </w:pPr>
      <w:r w:rsidRPr="00582E49">
        <w:rPr>
          <w:b/>
          <w:sz w:val="26"/>
        </w:rPr>
        <w:t>Summary CMS Proposed Rule</w:t>
      </w:r>
      <w:r w:rsidRPr="00582E49">
        <w:rPr>
          <w:rStyle w:val="FootnoteReference"/>
          <w:b/>
          <w:sz w:val="26"/>
        </w:rPr>
        <w:footnoteReference w:id="-1"/>
      </w:r>
    </w:p>
    <w:p w:rsidR="00582E49" w:rsidRPr="00582E49" w:rsidRDefault="00582E49" w:rsidP="00582E49">
      <w:pPr>
        <w:widowControl w:val="0"/>
        <w:autoSpaceDE w:val="0"/>
        <w:autoSpaceDN w:val="0"/>
        <w:adjustRightInd w:val="0"/>
        <w:jc w:val="center"/>
        <w:rPr>
          <w:rFonts w:cs="Times New Roman"/>
          <w:b/>
          <w:sz w:val="26"/>
        </w:rPr>
      </w:pPr>
      <w:r w:rsidRPr="00582E49">
        <w:rPr>
          <w:rFonts w:cs="Times New Roman"/>
          <w:b/>
          <w:sz w:val="26"/>
        </w:rPr>
        <w:t>Merit-Based Incentive Payment System (MIPS) and</w:t>
      </w:r>
    </w:p>
    <w:p w:rsidR="00582E49" w:rsidRPr="00582E49" w:rsidRDefault="00582E49" w:rsidP="00582E49">
      <w:pPr>
        <w:widowControl w:val="0"/>
        <w:autoSpaceDE w:val="0"/>
        <w:autoSpaceDN w:val="0"/>
        <w:adjustRightInd w:val="0"/>
        <w:jc w:val="center"/>
        <w:rPr>
          <w:rFonts w:cs="Times New Roman"/>
          <w:b/>
          <w:sz w:val="26"/>
        </w:rPr>
      </w:pPr>
      <w:r w:rsidRPr="00582E49">
        <w:rPr>
          <w:rFonts w:cs="Times New Roman"/>
          <w:b/>
          <w:sz w:val="26"/>
        </w:rPr>
        <w:t>Alternative Payment Model (APM) Incentive under the Physician Fee Schedule, and</w:t>
      </w:r>
    </w:p>
    <w:p w:rsidR="00582E49" w:rsidRPr="00582E49" w:rsidRDefault="00582E49" w:rsidP="00582E49">
      <w:pPr>
        <w:widowControl w:val="0"/>
        <w:autoSpaceDE w:val="0"/>
        <w:autoSpaceDN w:val="0"/>
        <w:adjustRightInd w:val="0"/>
        <w:jc w:val="center"/>
        <w:rPr>
          <w:b/>
          <w:sz w:val="26"/>
        </w:rPr>
      </w:pPr>
      <w:r w:rsidRPr="00582E49">
        <w:rPr>
          <w:rFonts w:cs="Times New Roman"/>
          <w:b/>
          <w:sz w:val="26"/>
        </w:rPr>
        <w:t>Criteria for Physician-Focused Payment Models</w:t>
      </w:r>
    </w:p>
    <w:p w:rsidR="00582E49" w:rsidRPr="00582E49" w:rsidRDefault="00582E49" w:rsidP="00210C28"/>
    <w:p w:rsidR="008D7D95" w:rsidRDefault="00805B70" w:rsidP="008D7D95">
      <w:pPr>
        <w:rPr>
          <w:rFonts w:cs="Times New Roman"/>
          <w:szCs w:val="20"/>
        </w:rPr>
      </w:pPr>
      <w:r w:rsidRPr="00582E49">
        <w:t xml:space="preserve">The Centers for Medicare and Medicaid Services (CMS) recently released a </w:t>
      </w:r>
      <w:r w:rsidR="005B74DC" w:rsidRPr="00582E49">
        <w:fldChar w:fldCharType="begin"/>
      </w:r>
      <w:r w:rsidRPr="00582E49">
        <w:instrText xml:space="preserve"> HYPERLINK "https://www.gpo.gov/fdsys/pkg/FR-2016-05-09/pdf/2016-10032.pdf" \t "_blank" </w:instrText>
      </w:r>
      <w:r w:rsidR="005B74DC" w:rsidRPr="00582E49">
        <w:fldChar w:fldCharType="separate"/>
      </w:r>
      <w:r w:rsidRPr="00582E49">
        <w:rPr>
          <w:rStyle w:val="Hyperlink"/>
        </w:rPr>
        <w:t>proposed rule</w:t>
      </w:r>
      <w:r w:rsidR="005B74DC" w:rsidRPr="00582E49">
        <w:fldChar w:fldCharType="end"/>
      </w:r>
      <w:r w:rsidRPr="00582E49">
        <w:t xml:space="preserve"> establishing two physician payment systems </w:t>
      </w:r>
      <w:r w:rsidR="006E5927">
        <w:t>authorized in</w:t>
      </w:r>
      <w:r w:rsidRPr="00582E49">
        <w:t xml:space="preserve"> the Medicare Access and CHIP Reauthorization Act of 2015 (MACRA)</w:t>
      </w:r>
      <w:r w:rsidR="006E5927">
        <w:t xml:space="preserve"> that permanently “fixed” Medicare physician payment</w:t>
      </w:r>
      <w:r w:rsidRPr="00582E49">
        <w:t>. These two systems, the Merit-based Incentive Payment System (MIPS) and the Alternative Payment Models (APM), change the way Medicare incorporates quality metrics into physician payments</w:t>
      </w:r>
      <w:r w:rsidR="00210C28" w:rsidRPr="00582E49">
        <w:t>.  CMS has named these two systems</w:t>
      </w:r>
      <w:r w:rsidR="006E5927">
        <w:t xml:space="preserve"> </w:t>
      </w:r>
      <w:r w:rsidR="006E5927" w:rsidRPr="00582E49">
        <w:t>collectively</w:t>
      </w:r>
      <w:r w:rsidR="00210C28" w:rsidRPr="00582E49">
        <w:rPr>
          <w:rFonts w:cs="Times New Roman"/>
          <w:szCs w:val="20"/>
        </w:rPr>
        <w:t xml:space="preserve"> the </w:t>
      </w:r>
      <w:r w:rsidR="00210C28" w:rsidRPr="00582E49">
        <w:rPr>
          <w:rFonts w:cs="Times New Roman"/>
          <w:b/>
          <w:szCs w:val="20"/>
        </w:rPr>
        <w:t xml:space="preserve">Quality Payment Program </w:t>
      </w:r>
      <w:r w:rsidR="00210C28" w:rsidRPr="00582E49">
        <w:rPr>
          <w:rFonts w:cs="Times New Roman"/>
          <w:szCs w:val="20"/>
        </w:rPr>
        <w:t>(QPP).</w:t>
      </w:r>
      <w:r w:rsidR="008D7D95">
        <w:rPr>
          <w:rFonts w:cs="Times New Roman"/>
          <w:szCs w:val="20"/>
        </w:rPr>
        <w:t xml:space="preserve"> </w:t>
      </w:r>
    </w:p>
    <w:p w:rsidR="008D7D95" w:rsidRDefault="008D7D95" w:rsidP="008D7D95">
      <w:pPr>
        <w:rPr>
          <w:rFonts w:cs="Times New Roman"/>
          <w:szCs w:val="20"/>
        </w:rPr>
      </w:pPr>
    </w:p>
    <w:p w:rsidR="008D7D95" w:rsidRPr="00582E49" w:rsidRDefault="008D7D95" w:rsidP="008D7D95">
      <w:pPr>
        <w:rPr>
          <w:szCs w:val="19"/>
        </w:rPr>
      </w:pPr>
      <w:r w:rsidRPr="00582E49">
        <w:rPr>
          <w:rFonts w:cs="Times New Roman"/>
          <w:b/>
          <w:szCs w:val="20"/>
        </w:rPr>
        <w:t>Timeline</w:t>
      </w:r>
      <w:r w:rsidRPr="00582E49">
        <w:rPr>
          <w:rFonts w:cs="Times New Roman"/>
          <w:szCs w:val="20"/>
        </w:rPr>
        <w:t>: MIPS and APMs will go into effect incrementally from 2015 through 2021 and beyond.</w:t>
      </w:r>
      <w:r>
        <w:rPr>
          <w:rFonts w:cs="Times New Roman"/>
          <w:szCs w:val="20"/>
        </w:rPr>
        <w:t xml:space="preserve"> In 2016-2019, EPs will receive current fee schedule payments with a 0.5% annual adjustment. CMS proposes</w:t>
      </w:r>
      <w:r w:rsidRPr="00582E49">
        <w:rPr>
          <w:rFonts w:cs="Times New Roman"/>
          <w:szCs w:val="20"/>
        </w:rPr>
        <w:t xml:space="preserve"> to begin measuring </w:t>
      </w:r>
      <w:r>
        <w:rPr>
          <w:rFonts w:cs="Times New Roman"/>
          <w:szCs w:val="20"/>
        </w:rPr>
        <w:t xml:space="preserve">and analyzing </w:t>
      </w:r>
      <w:r w:rsidRPr="00582E49">
        <w:rPr>
          <w:rFonts w:cs="Times New Roman"/>
          <w:szCs w:val="20"/>
        </w:rPr>
        <w:t xml:space="preserve">performance for doctors and other clinicians through MIPS in January 2017, with </w:t>
      </w:r>
      <w:r>
        <w:rPr>
          <w:rFonts w:cs="Times New Roman"/>
          <w:szCs w:val="20"/>
        </w:rPr>
        <w:t xml:space="preserve">MIPS </w:t>
      </w:r>
      <w:r w:rsidRPr="00582E49">
        <w:rPr>
          <w:rFonts w:cs="Times New Roman"/>
          <w:szCs w:val="20"/>
        </w:rPr>
        <w:t xml:space="preserve">payments based on those measures beginning in 2019. </w:t>
      </w:r>
      <w:r w:rsidRPr="00582E49">
        <w:rPr>
          <w:szCs w:val="19"/>
        </w:rPr>
        <w:t xml:space="preserve">In order to determine whether clinicians met the requirements for the Advanced APM track, all clinicians </w:t>
      </w:r>
      <w:r>
        <w:rPr>
          <w:szCs w:val="19"/>
        </w:rPr>
        <w:t xml:space="preserve">choosing this system </w:t>
      </w:r>
      <w:r w:rsidRPr="00582E49">
        <w:rPr>
          <w:szCs w:val="19"/>
        </w:rPr>
        <w:t xml:space="preserve">will report through MIPS in the first year. </w:t>
      </w:r>
      <w:r>
        <w:rPr>
          <w:szCs w:val="19"/>
        </w:rPr>
        <w:t xml:space="preserve">(See </w:t>
      </w:r>
      <w:r w:rsidRPr="007D099A">
        <w:rPr>
          <w:szCs w:val="19"/>
        </w:rPr>
        <w:t>Appendix</w:t>
      </w:r>
      <w:r>
        <w:rPr>
          <w:szCs w:val="19"/>
        </w:rPr>
        <w:t>:</w:t>
      </w:r>
      <w:r w:rsidRPr="007D099A">
        <w:rPr>
          <w:szCs w:val="19"/>
        </w:rPr>
        <w:t xml:space="preserve"> Timelines</w:t>
      </w:r>
      <w:r>
        <w:rPr>
          <w:szCs w:val="19"/>
        </w:rPr>
        <w:t xml:space="preserve"> for more information.</w:t>
      </w:r>
      <w:r w:rsidRPr="007D099A">
        <w:rPr>
          <w:szCs w:val="19"/>
        </w:rPr>
        <w:t>)</w:t>
      </w:r>
    </w:p>
    <w:p w:rsidR="00582E49" w:rsidRPr="00582E49" w:rsidRDefault="00582E49" w:rsidP="00210C28">
      <w:pPr>
        <w:rPr>
          <w:rFonts w:cs="Times New Roman"/>
          <w:szCs w:val="20"/>
        </w:rPr>
      </w:pPr>
    </w:p>
    <w:p w:rsidR="00582E49" w:rsidRPr="00582E49" w:rsidRDefault="00582E49" w:rsidP="00210C28">
      <w:pPr>
        <w:rPr>
          <w:rFonts w:cs="Times New Roman"/>
          <w:szCs w:val="20"/>
        </w:rPr>
      </w:pPr>
      <w:r w:rsidRPr="00582E49">
        <w:rPr>
          <w:rFonts w:cs="Times New Roman"/>
          <w:szCs w:val="20"/>
        </w:rPr>
        <w:t xml:space="preserve">Comments are due </w:t>
      </w:r>
      <w:r w:rsidRPr="00582E49">
        <w:t xml:space="preserve">June 27, 2016 11:59 PM ET. </w:t>
      </w:r>
    </w:p>
    <w:p w:rsidR="00EA3346" w:rsidRPr="00582E49" w:rsidRDefault="00EA3346" w:rsidP="00210C28">
      <w:pPr>
        <w:rPr>
          <w:rFonts w:cs="Times New Roman"/>
          <w:szCs w:val="20"/>
        </w:rPr>
      </w:pPr>
    </w:p>
    <w:p w:rsidR="00210C28" w:rsidRPr="00582E49" w:rsidRDefault="0012320F" w:rsidP="0012320F">
      <w:pPr>
        <w:rPr>
          <w:rFonts w:cs="Times New Roman"/>
          <w:szCs w:val="20"/>
        </w:rPr>
      </w:pPr>
      <w:r w:rsidRPr="00582E49">
        <w:rPr>
          <w:rFonts w:cs="Times New Roman"/>
          <w:b/>
          <w:szCs w:val="20"/>
        </w:rPr>
        <w:t>Eligible Professionals</w:t>
      </w:r>
      <w:r w:rsidR="006E5927">
        <w:rPr>
          <w:rFonts w:cs="Times New Roman"/>
          <w:b/>
          <w:szCs w:val="20"/>
        </w:rPr>
        <w:t xml:space="preserve"> (EP)</w:t>
      </w:r>
      <w:r w:rsidRPr="00582E49">
        <w:rPr>
          <w:rFonts w:cs="Times New Roman"/>
          <w:b/>
          <w:szCs w:val="20"/>
        </w:rPr>
        <w:t>:</w:t>
      </w:r>
      <w:r w:rsidRPr="00582E49">
        <w:rPr>
          <w:rFonts w:cs="Times New Roman"/>
          <w:szCs w:val="20"/>
        </w:rPr>
        <w:t xml:space="preserve"> </w:t>
      </w:r>
      <w:r w:rsidR="00EA3346" w:rsidRPr="00582E49">
        <w:rPr>
          <w:rFonts w:cs="Times New Roman"/>
          <w:szCs w:val="20"/>
        </w:rPr>
        <w:t xml:space="preserve">In the first </w:t>
      </w:r>
      <w:r w:rsidR="00883159" w:rsidRPr="00582E49">
        <w:rPr>
          <w:rFonts w:cs="Times New Roman"/>
          <w:szCs w:val="20"/>
        </w:rPr>
        <w:t xml:space="preserve">two </w:t>
      </w:r>
      <w:r w:rsidR="00EA3346" w:rsidRPr="00582E49">
        <w:rPr>
          <w:rFonts w:cs="Times New Roman"/>
          <w:szCs w:val="20"/>
        </w:rPr>
        <w:t>year</w:t>
      </w:r>
      <w:r w:rsidR="00883159" w:rsidRPr="00582E49">
        <w:rPr>
          <w:rFonts w:cs="Times New Roman"/>
          <w:szCs w:val="20"/>
        </w:rPr>
        <w:t>s of the payment system</w:t>
      </w:r>
      <w:r w:rsidR="00EA3346" w:rsidRPr="00582E49">
        <w:rPr>
          <w:rFonts w:cs="Times New Roman"/>
          <w:szCs w:val="20"/>
        </w:rPr>
        <w:t>, CMS propose</w:t>
      </w:r>
      <w:r w:rsidR="00883159" w:rsidRPr="00582E49">
        <w:rPr>
          <w:rFonts w:cs="Times New Roman"/>
          <w:szCs w:val="20"/>
        </w:rPr>
        <w:t>s</w:t>
      </w:r>
      <w:r w:rsidR="00EA3346" w:rsidRPr="00582E49">
        <w:rPr>
          <w:rFonts w:cs="Times New Roman"/>
          <w:szCs w:val="20"/>
        </w:rPr>
        <w:t xml:space="preserve"> that </w:t>
      </w:r>
      <w:r w:rsidR="006E5927">
        <w:rPr>
          <w:rFonts w:cs="Times New Roman"/>
          <w:szCs w:val="20"/>
        </w:rPr>
        <w:t xml:space="preserve">EPs </w:t>
      </w:r>
      <w:r w:rsidR="00EA3346" w:rsidRPr="00582E49">
        <w:rPr>
          <w:rFonts w:cs="Times New Roman"/>
          <w:szCs w:val="20"/>
        </w:rPr>
        <w:t xml:space="preserve">would be physicians, physician assistances, nurse practitioners, clinical nurse specialists, </w:t>
      </w:r>
      <w:r w:rsidR="00883159" w:rsidRPr="00582E49">
        <w:rPr>
          <w:rFonts w:cs="Times New Roman"/>
          <w:szCs w:val="20"/>
        </w:rPr>
        <w:t xml:space="preserve">certified registered nurse anesthetists.  In years three and beyond, </w:t>
      </w:r>
      <w:r w:rsidRPr="00582E49">
        <w:rPr>
          <w:rFonts w:cs="Times New Roman"/>
          <w:szCs w:val="20"/>
        </w:rPr>
        <w:t>CMS propose</w:t>
      </w:r>
      <w:r w:rsidR="006E5927">
        <w:rPr>
          <w:rFonts w:cs="Times New Roman"/>
          <w:szCs w:val="20"/>
        </w:rPr>
        <w:t xml:space="preserve">s </w:t>
      </w:r>
      <w:r w:rsidRPr="00582E49">
        <w:rPr>
          <w:rFonts w:cs="Times New Roman"/>
          <w:szCs w:val="20"/>
        </w:rPr>
        <w:t>to include other clinicians that have</w:t>
      </w:r>
      <w:r w:rsidRPr="00582E49">
        <w:rPr>
          <w:rFonts w:cs="Times New Roman"/>
        </w:rPr>
        <w:t xml:space="preserve"> been reporting quality measures under the </w:t>
      </w:r>
      <w:r w:rsidR="006E5927">
        <w:rPr>
          <w:rFonts w:cs="Times New Roman"/>
        </w:rPr>
        <w:t xml:space="preserve">current physician quality reporting system or </w:t>
      </w:r>
      <w:r w:rsidR="006E5927" w:rsidRPr="006E5927">
        <w:rPr>
          <w:rFonts w:cs="Times New Roman"/>
        </w:rPr>
        <w:t xml:space="preserve">Physician Quality Reporting System (PQRS) </w:t>
      </w:r>
      <w:r w:rsidRPr="00582E49">
        <w:rPr>
          <w:rFonts w:cs="Times New Roman"/>
        </w:rPr>
        <w:t xml:space="preserve">for a number of years such as physical and occupational therapists, clinical social workers, audiologists, audiologists, certified curse midwives and clinical psychologists/counselors. </w:t>
      </w:r>
    </w:p>
    <w:p w:rsidR="008D0D95" w:rsidRPr="00582E49" w:rsidRDefault="008D0D95" w:rsidP="005B74DC">
      <w:pPr>
        <w:spacing w:beforeLines="1" w:afterLines="1"/>
        <w:rPr>
          <w:rFonts w:cs="Times New Roman"/>
          <w:szCs w:val="20"/>
        </w:rPr>
      </w:pPr>
    </w:p>
    <w:p w:rsidR="002322D4" w:rsidRPr="00582E49" w:rsidRDefault="00210C28" w:rsidP="002322D4">
      <w:pPr>
        <w:rPr>
          <w:b/>
          <w:szCs w:val="20"/>
          <w:u w:val="single"/>
        </w:rPr>
      </w:pPr>
      <w:r w:rsidRPr="00582E49">
        <w:rPr>
          <w:b/>
          <w:szCs w:val="20"/>
          <w:u w:val="single"/>
        </w:rPr>
        <w:t>Merit-Based Incentive Payment System</w:t>
      </w:r>
    </w:p>
    <w:p w:rsidR="00697F66" w:rsidRPr="00582E49" w:rsidRDefault="00210C28" w:rsidP="005B74DC">
      <w:pPr>
        <w:spacing w:beforeLines="1" w:afterLines="1"/>
        <w:rPr>
          <w:szCs w:val="19"/>
        </w:rPr>
      </w:pPr>
      <w:r w:rsidRPr="00582E49">
        <w:rPr>
          <w:szCs w:val="20"/>
        </w:rPr>
        <w:t>MIPS c</w:t>
      </w:r>
      <w:r w:rsidRPr="00582E49">
        <w:rPr>
          <w:rFonts w:cs="Times New Roman"/>
          <w:szCs w:val="20"/>
        </w:rPr>
        <w:t xml:space="preserve">ombines parts of the </w:t>
      </w:r>
      <w:r w:rsidR="006E5927">
        <w:rPr>
          <w:rFonts w:cs="Times New Roman"/>
          <w:szCs w:val="20"/>
        </w:rPr>
        <w:t>PQRS,</w:t>
      </w:r>
      <w:r w:rsidRPr="00582E49">
        <w:rPr>
          <w:rFonts w:cs="Times New Roman"/>
          <w:szCs w:val="20"/>
        </w:rPr>
        <w:t xml:space="preserve"> the </w:t>
      </w:r>
      <w:hyperlink r:id="rId6" w:history="1">
        <w:r w:rsidRPr="00582E49">
          <w:rPr>
            <w:rFonts w:cs="Times New Roman"/>
            <w:szCs w:val="20"/>
          </w:rPr>
          <w:t>Value Modifier</w:t>
        </w:r>
      </w:hyperlink>
      <w:r w:rsidRPr="00582E49">
        <w:rPr>
          <w:rFonts w:cs="Times New Roman"/>
          <w:szCs w:val="20"/>
        </w:rPr>
        <w:t xml:space="preserve"> (VM or Value-based Payment Modifier) and the Medicare Electronic Health Record (EHR) incentive program into one single program</w:t>
      </w:r>
      <w:r w:rsidR="002322D4" w:rsidRPr="00582E49">
        <w:rPr>
          <w:rFonts w:cs="Times New Roman"/>
          <w:szCs w:val="20"/>
        </w:rPr>
        <w:t xml:space="preserve">. </w:t>
      </w:r>
      <w:r w:rsidR="002322D4" w:rsidRPr="00582E49">
        <w:rPr>
          <w:szCs w:val="19"/>
        </w:rPr>
        <w:t xml:space="preserve">MIPS will pay Medicare EP for providing high quality, efficient care through success </w:t>
      </w:r>
      <w:r w:rsidR="00697F66" w:rsidRPr="00582E49">
        <w:rPr>
          <w:szCs w:val="19"/>
        </w:rPr>
        <w:t xml:space="preserve">in four performance categories. </w:t>
      </w:r>
    </w:p>
    <w:p w:rsidR="004331DA" w:rsidRPr="00582E49" w:rsidRDefault="004331DA" w:rsidP="004331DA">
      <w:pPr>
        <w:rPr>
          <w:szCs w:val="20"/>
        </w:rPr>
      </w:pPr>
    </w:p>
    <w:p w:rsidR="00697F66" w:rsidRPr="00582E49" w:rsidRDefault="00697F66" w:rsidP="004331DA">
      <w:pPr>
        <w:rPr>
          <w:szCs w:val="20"/>
        </w:rPr>
      </w:pPr>
      <w:r w:rsidRPr="00582E49">
        <w:rPr>
          <w:szCs w:val="20"/>
        </w:rPr>
        <w:t>CMS proposes to compute a score for</w:t>
      </w:r>
      <w:r w:rsidR="00EE62C3" w:rsidRPr="00582E49">
        <w:rPr>
          <w:szCs w:val="20"/>
        </w:rPr>
        <w:t xml:space="preserve"> each of the category and weigh</w:t>
      </w:r>
      <w:r w:rsidRPr="00582E49">
        <w:rPr>
          <w:szCs w:val="20"/>
        </w:rPr>
        <w:t xml:space="preserve"> it as described below to</w:t>
      </w:r>
      <w:r w:rsidR="0008745B" w:rsidRPr="00582E49">
        <w:rPr>
          <w:szCs w:val="20"/>
        </w:rPr>
        <w:t xml:space="preserve"> calculate </w:t>
      </w:r>
      <w:r w:rsidRPr="00582E49">
        <w:rPr>
          <w:rFonts w:cs="Times New Roman"/>
        </w:rPr>
        <w:t>composite performance score</w:t>
      </w:r>
      <w:r w:rsidR="006E5927">
        <w:rPr>
          <w:rFonts w:cs="Times New Roman"/>
        </w:rPr>
        <w:t>s</w:t>
      </w:r>
      <w:r w:rsidRPr="00582E49">
        <w:rPr>
          <w:rFonts w:cs="Times New Roman"/>
        </w:rPr>
        <w:t xml:space="preserve"> (CPS). The MIPS CPS would be compared against a MIPS performance threshold. The CPS would be used to determine whether a MIPS eligible clinician receives an upward payment adjustment, no payment adjustment, or a downward payment adjustment </w:t>
      </w:r>
      <w:r w:rsidR="004331DA" w:rsidRPr="00582E49">
        <w:rPr>
          <w:szCs w:val="19"/>
        </w:rPr>
        <w:t>to their Medicare Part B payments</w:t>
      </w:r>
      <w:r w:rsidR="004331DA" w:rsidRPr="00582E49">
        <w:rPr>
          <w:rStyle w:val="FootnoteReference"/>
          <w:szCs w:val="19"/>
        </w:rPr>
        <w:footnoteReference w:id="0"/>
      </w:r>
      <w:r w:rsidR="004331DA" w:rsidRPr="00582E49">
        <w:rPr>
          <w:szCs w:val="19"/>
        </w:rPr>
        <w:t>.</w:t>
      </w:r>
      <w:r w:rsidR="00447828" w:rsidRPr="00582E49">
        <w:rPr>
          <w:rFonts w:cs="Times New Roman"/>
        </w:rPr>
        <w:t xml:space="preserve"> The CPS would also be used to determine whether a MIPS eligible clinician qualifies for an additional positive adjustment factor for exceptional performance.</w:t>
      </w:r>
    </w:p>
    <w:p w:rsidR="00697F66" w:rsidRPr="00582E49" w:rsidRDefault="00697F66" w:rsidP="002322D4">
      <w:pPr>
        <w:rPr>
          <w:szCs w:val="19"/>
        </w:rPr>
      </w:pPr>
    </w:p>
    <w:p w:rsidR="00697F66" w:rsidRPr="00582E49" w:rsidRDefault="00697F66" w:rsidP="00697F66">
      <w:pPr>
        <w:rPr>
          <w:b/>
          <w:szCs w:val="19"/>
        </w:rPr>
      </w:pPr>
      <w:r w:rsidRPr="00582E49">
        <w:rPr>
          <w:b/>
          <w:szCs w:val="19"/>
        </w:rPr>
        <w:t xml:space="preserve">Performance Categories: </w:t>
      </w:r>
    </w:p>
    <w:p w:rsidR="002322D4" w:rsidRPr="00582E49" w:rsidRDefault="00210C28" w:rsidP="005B74DC">
      <w:pPr>
        <w:numPr>
          <w:ilvl w:val="0"/>
          <w:numId w:val="2"/>
        </w:numPr>
        <w:spacing w:beforeLines="1" w:afterLines="1"/>
        <w:rPr>
          <w:szCs w:val="19"/>
        </w:rPr>
      </w:pPr>
      <w:r w:rsidRPr="00582E49">
        <w:rPr>
          <w:szCs w:val="20"/>
          <w:u w:val="single"/>
        </w:rPr>
        <w:t>Quality</w:t>
      </w:r>
      <w:r w:rsidR="002322D4" w:rsidRPr="00582E49">
        <w:rPr>
          <w:szCs w:val="20"/>
        </w:rPr>
        <w:t xml:space="preserve">: </w:t>
      </w:r>
      <w:r w:rsidR="002322D4" w:rsidRPr="00582E49">
        <w:rPr>
          <w:szCs w:val="19"/>
        </w:rPr>
        <w:t>50 percent of total score in year 1</w:t>
      </w:r>
      <w:r w:rsidR="00EE62C3" w:rsidRPr="00582E49">
        <w:rPr>
          <w:rStyle w:val="FootnoteReference"/>
          <w:szCs w:val="19"/>
        </w:rPr>
        <w:footnoteReference w:id="1"/>
      </w:r>
      <w:r w:rsidR="002322D4" w:rsidRPr="00582E49">
        <w:rPr>
          <w:szCs w:val="19"/>
        </w:rPr>
        <w:t>; replaces the Physician Quality Reporting System and the quality component of the Value Modifier Program).</w:t>
      </w:r>
    </w:p>
    <w:p w:rsidR="002C54A9" w:rsidRPr="00582E49" w:rsidRDefault="002322D4" w:rsidP="005B74DC">
      <w:pPr>
        <w:numPr>
          <w:ilvl w:val="1"/>
          <w:numId w:val="2"/>
        </w:numPr>
        <w:spacing w:beforeLines="1" w:afterLines="1"/>
        <w:rPr>
          <w:szCs w:val="19"/>
        </w:rPr>
      </w:pPr>
      <w:r w:rsidRPr="00582E49">
        <w:rPr>
          <w:szCs w:val="19"/>
        </w:rPr>
        <w:t>Clinicians report six measures</w:t>
      </w:r>
      <w:r w:rsidR="006E5927">
        <w:rPr>
          <w:szCs w:val="19"/>
        </w:rPr>
        <w:t xml:space="preserve"> of their choice</w:t>
      </w:r>
      <w:r w:rsidRPr="00582E49">
        <w:rPr>
          <w:szCs w:val="19"/>
        </w:rPr>
        <w:t xml:space="preserve"> versus the nine measures currently required under the Physician Quality Reporting System. </w:t>
      </w:r>
    </w:p>
    <w:p w:rsidR="002C54A9" w:rsidRPr="00582E49" w:rsidRDefault="002C54A9" w:rsidP="005B74DC">
      <w:pPr>
        <w:numPr>
          <w:ilvl w:val="2"/>
          <w:numId w:val="2"/>
        </w:numPr>
        <w:spacing w:beforeLines="1" w:afterLines="1"/>
        <w:rPr>
          <w:szCs w:val="19"/>
        </w:rPr>
      </w:pPr>
      <w:r w:rsidRPr="00582E49">
        <w:rPr>
          <w:szCs w:val="19"/>
        </w:rPr>
        <w:t>One measure must be a cross cutting measure (care plan, documentation of current medication in medical record, closing the referral loop: receiving specialists report, preventive care and screening)</w:t>
      </w:r>
    </w:p>
    <w:p w:rsidR="002322D4" w:rsidRPr="00582E49" w:rsidRDefault="002C54A9" w:rsidP="005B74DC">
      <w:pPr>
        <w:numPr>
          <w:ilvl w:val="2"/>
          <w:numId w:val="2"/>
        </w:numPr>
        <w:spacing w:beforeLines="1" w:afterLines="1"/>
        <w:rPr>
          <w:szCs w:val="19"/>
        </w:rPr>
      </w:pPr>
      <w:r w:rsidRPr="00582E49">
        <w:rPr>
          <w:szCs w:val="19"/>
        </w:rPr>
        <w:t>One measure must be an outcome measure or a high priority measure (appropriate use, patient safety, efficiency, patient experience, and care coordination measures)</w:t>
      </w:r>
      <w:r w:rsidRPr="00582E49">
        <w:rPr>
          <w:szCs w:val="19"/>
        </w:rPr>
        <w:tab/>
      </w:r>
      <w:r w:rsidRPr="00582E49">
        <w:rPr>
          <w:szCs w:val="19"/>
        </w:rPr>
        <w:tab/>
      </w:r>
    </w:p>
    <w:p w:rsidR="002322D4" w:rsidRPr="00582E49" w:rsidRDefault="002322D4" w:rsidP="005B74DC">
      <w:pPr>
        <w:numPr>
          <w:ilvl w:val="1"/>
          <w:numId w:val="2"/>
        </w:numPr>
        <w:spacing w:beforeLines="1" w:afterLines="1"/>
        <w:rPr>
          <w:szCs w:val="19"/>
        </w:rPr>
      </w:pPr>
      <w:r w:rsidRPr="00582E49">
        <w:rPr>
          <w:szCs w:val="19"/>
        </w:rPr>
        <w:t xml:space="preserve">This category gives clinicians reporting options to choose from to accommodate differences in specialty and practices. </w:t>
      </w:r>
    </w:p>
    <w:p w:rsidR="002322D4" w:rsidRPr="00582E49" w:rsidRDefault="00210C28" w:rsidP="005B74DC">
      <w:pPr>
        <w:numPr>
          <w:ilvl w:val="0"/>
          <w:numId w:val="2"/>
        </w:numPr>
        <w:spacing w:beforeLines="1" w:afterLines="1"/>
        <w:rPr>
          <w:szCs w:val="20"/>
        </w:rPr>
      </w:pPr>
      <w:r w:rsidRPr="00582E49">
        <w:rPr>
          <w:szCs w:val="20"/>
          <w:u w:val="single"/>
        </w:rPr>
        <w:t>Resource use</w:t>
      </w:r>
      <w:r w:rsidR="002322D4" w:rsidRPr="00582E49">
        <w:rPr>
          <w:szCs w:val="20"/>
        </w:rPr>
        <w:t>: 10 percent of total score in year 1</w:t>
      </w:r>
      <w:r w:rsidR="0008745B" w:rsidRPr="00582E49">
        <w:rPr>
          <w:rStyle w:val="FootnoteReference"/>
          <w:szCs w:val="20"/>
        </w:rPr>
        <w:footnoteReference w:id="2"/>
      </w:r>
      <w:r w:rsidR="002322D4" w:rsidRPr="00582E49">
        <w:rPr>
          <w:szCs w:val="20"/>
        </w:rPr>
        <w:t>; replaces the cost component of the Value Modifier Program (also known as Resource Use).</w:t>
      </w:r>
    </w:p>
    <w:p w:rsidR="002322D4" w:rsidRPr="00582E49" w:rsidRDefault="002322D4" w:rsidP="005B74DC">
      <w:pPr>
        <w:numPr>
          <w:ilvl w:val="1"/>
          <w:numId w:val="2"/>
        </w:numPr>
        <w:spacing w:beforeLines="1" w:afterLines="1"/>
        <w:rPr>
          <w:szCs w:val="20"/>
        </w:rPr>
      </w:pPr>
      <w:r w:rsidRPr="00582E49">
        <w:rPr>
          <w:szCs w:val="20"/>
        </w:rPr>
        <w:t xml:space="preserve">The score would be based on Medicare claims, meaning </w:t>
      </w:r>
      <w:r w:rsidR="006E5927">
        <w:rPr>
          <w:szCs w:val="20"/>
        </w:rPr>
        <w:t>there are no reporting requirements</w:t>
      </w:r>
      <w:r w:rsidRPr="00582E49">
        <w:rPr>
          <w:szCs w:val="20"/>
        </w:rPr>
        <w:t xml:space="preserve"> for clinicians</w:t>
      </w:r>
      <w:r w:rsidR="006E5927">
        <w:rPr>
          <w:szCs w:val="20"/>
        </w:rPr>
        <w:t xml:space="preserve"> for this category</w:t>
      </w:r>
      <w:r w:rsidRPr="00582E49">
        <w:rPr>
          <w:szCs w:val="20"/>
        </w:rPr>
        <w:t xml:space="preserve">.  </w:t>
      </w:r>
    </w:p>
    <w:p w:rsidR="002322D4" w:rsidRPr="00582E49" w:rsidRDefault="002322D4" w:rsidP="005B74DC">
      <w:pPr>
        <w:numPr>
          <w:ilvl w:val="1"/>
          <w:numId w:val="2"/>
        </w:numPr>
        <w:spacing w:beforeLines="1" w:afterLines="1"/>
        <w:rPr>
          <w:szCs w:val="20"/>
        </w:rPr>
      </w:pPr>
      <w:r w:rsidRPr="00582E49">
        <w:rPr>
          <w:szCs w:val="20"/>
        </w:rPr>
        <w:t>T</w:t>
      </w:r>
      <w:r w:rsidR="002D7211" w:rsidRPr="002D7211">
        <w:rPr>
          <w:szCs w:val="20"/>
        </w:rPr>
        <w:t xml:space="preserve"> </w:t>
      </w:r>
      <w:r w:rsidR="002D7211" w:rsidRPr="00582E49">
        <w:rPr>
          <w:szCs w:val="20"/>
        </w:rPr>
        <w:t>to account fo</w:t>
      </w:r>
      <w:r w:rsidR="002D7211">
        <w:rPr>
          <w:szCs w:val="20"/>
        </w:rPr>
        <w:t>r differences among specialties, t</w:t>
      </w:r>
      <w:r w:rsidRPr="00582E49">
        <w:rPr>
          <w:szCs w:val="20"/>
        </w:rPr>
        <w:t>his category would use more than 40 episode-</w:t>
      </w:r>
      <w:r w:rsidR="002D7211">
        <w:rPr>
          <w:szCs w:val="20"/>
        </w:rPr>
        <w:t>based</w:t>
      </w:r>
      <w:r w:rsidRPr="00582E49">
        <w:rPr>
          <w:szCs w:val="20"/>
        </w:rPr>
        <w:t xml:space="preserve"> measures</w:t>
      </w:r>
      <w:r w:rsidR="002D7211">
        <w:rPr>
          <w:szCs w:val="20"/>
        </w:rPr>
        <w:t xml:space="preserve">, such as those for </w:t>
      </w:r>
      <w:r w:rsidR="002D7211" w:rsidRPr="002D7211">
        <w:rPr>
          <w:szCs w:val="20"/>
        </w:rPr>
        <w:t>Mastectomy for Breast Cancer</w:t>
      </w:r>
      <w:r w:rsidR="002D7211">
        <w:rPr>
          <w:szCs w:val="20"/>
        </w:rPr>
        <w:t xml:space="preserve">, </w:t>
      </w:r>
      <w:r w:rsidR="002D7211" w:rsidRPr="002D7211">
        <w:rPr>
          <w:szCs w:val="20"/>
        </w:rPr>
        <w:t>Rheumatoid Arthritis</w:t>
      </w:r>
      <w:r w:rsidR="002D7211">
        <w:rPr>
          <w:szCs w:val="20"/>
        </w:rPr>
        <w:t xml:space="preserve"> or </w:t>
      </w:r>
      <w:r w:rsidR="002D7211" w:rsidRPr="002D7211">
        <w:rPr>
          <w:szCs w:val="20"/>
        </w:rPr>
        <w:t>Carotid Endarterectomy</w:t>
      </w:r>
      <w:r w:rsidR="002D7211">
        <w:rPr>
          <w:szCs w:val="20"/>
        </w:rPr>
        <w:t xml:space="preserve">. </w:t>
      </w:r>
    </w:p>
    <w:p w:rsidR="002322D4" w:rsidRPr="00582E49" w:rsidRDefault="00210C28" w:rsidP="005B74DC">
      <w:pPr>
        <w:numPr>
          <w:ilvl w:val="0"/>
          <w:numId w:val="2"/>
        </w:numPr>
        <w:spacing w:beforeLines="1" w:afterLines="1"/>
        <w:rPr>
          <w:szCs w:val="20"/>
        </w:rPr>
      </w:pPr>
      <w:r w:rsidRPr="00582E49">
        <w:rPr>
          <w:szCs w:val="20"/>
          <w:u w:val="single"/>
        </w:rPr>
        <w:t>Clinical practice improvemen</w:t>
      </w:r>
      <w:r w:rsidR="00254B10">
        <w:rPr>
          <w:szCs w:val="20"/>
          <w:u w:val="single"/>
        </w:rPr>
        <w:t xml:space="preserve">t </w:t>
      </w:r>
      <w:r w:rsidR="00254B10" w:rsidRPr="00254B10">
        <w:rPr>
          <w:szCs w:val="20"/>
          <w:u w:val="single"/>
        </w:rPr>
        <w:t>activities</w:t>
      </w:r>
      <w:r w:rsidR="002322D4" w:rsidRPr="00582E49">
        <w:rPr>
          <w:szCs w:val="20"/>
        </w:rPr>
        <w:t>: 15 percent of total score in year 1</w:t>
      </w:r>
      <w:r w:rsidR="0008745B" w:rsidRPr="00582E49">
        <w:rPr>
          <w:rStyle w:val="FootnoteReference"/>
          <w:szCs w:val="20"/>
        </w:rPr>
        <w:footnoteReference w:id="3"/>
      </w:r>
      <w:r w:rsidR="002322D4" w:rsidRPr="00582E49">
        <w:rPr>
          <w:szCs w:val="20"/>
        </w:rPr>
        <w:t xml:space="preserve">; Clinicians would be rewarded for clinical practice improvement activities such as activities focused on care coordination, beneficiary engagement, and patient safety. </w:t>
      </w:r>
    </w:p>
    <w:p w:rsidR="002C54A9" w:rsidRPr="00582E49" w:rsidRDefault="002322D4" w:rsidP="005B74DC">
      <w:pPr>
        <w:numPr>
          <w:ilvl w:val="1"/>
          <w:numId w:val="2"/>
        </w:numPr>
        <w:spacing w:beforeLines="1" w:afterLines="1"/>
        <w:rPr>
          <w:szCs w:val="20"/>
        </w:rPr>
      </w:pPr>
      <w:r w:rsidRPr="00582E49">
        <w:rPr>
          <w:szCs w:val="20"/>
        </w:rPr>
        <w:t xml:space="preserve">Clinicians may select activities that match their practices’ goals from a list of more than 90 options. </w:t>
      </w:r>
    </w:p>
    <w:p w:rsidR="002322D4" w:rsidRPr="00582E49" w:rsidRDefault="002C54A9" w:rsidP="005B74DC">
      <w:pPr>
        <w:numPr>
          <w:ilvl w:val="1"/>
          <w:numId w:val="2"/>
        </w:numPr>
        <w:spacing w:beforeLines="1" w:afterLines="1"/>
        <w:rPr>
          <w:szCs w:val="20"/>
        </w:rPr>
      </w:pPr>
      <w:r w:rsidRPr="00582E49">
        <w:rPr>
          <w:szCs w:val="20"/>
        </w:rPr>
        <w:t xml:space="preserve">Clinicians will receive </w:t>
      </w:r>
      <w:r w:rsidR="006E5927">
        <w:rPr>
          <w:szCs w:val="20"/>
        </w:rPr>
        <w:t>additional</w:t>
      </w:r>
      <w:r w:rsidRPr="00582E49">
        <w:rPr>
          <w:szCs w:val="20"/>
        </w:rPr>
        <w:t xml:space="preserve"> credit for each of the activities they undertake.</w:t>
      </w:r>
    </w:p>
    <w:p w:rsidR="002322D4" w:rsidRPr="00582E49" w:rsidRDefault="002322D4" w:rsidP="005B74DC">
      <w:pPr>
        <w:numPr>
          <w:ilvl w:val="1"/>
          <w:numId w:val="2"/>
        </w:numPr>
        <w:spacing w:beforeLines="1" w:afterLines="1"/>
        <w:rPr>
          <w:szCs w:val="20"/>
        </w:rPr>
      </w:pPr>
      <w:r w:rsidRPr="00582E49">
        <w:rPr>
          <w:szCs w:val="20"/>
        </w:rPr>
        <w:t xml:space="preserve">In addition, clinicians would receive credit in this category for participating in Alternative Payment Models and in Patient-Centered Medical Home. </w:t>
      </w:r>
    </w:p>
    <w:p w:rsidR="00EA3346" w:rsidRPr="00582E49" w:rsidRDefault="00EA3346" w:rsidP="005B74DC">
      <w:pPr>
        <w:numPr>
          <w:ilvl w:val="0"/>
          <w:numId w:val="2"/>
        </w:numPr>
        <w:spacing w:beforeLines="1" w:afterLines="1"/>
        <w:rPr>
          <w:szCs w:val="19"/>
        </w:rPr>
      </w:pPr>
      <w:r w:rsidRPr="00582E49">
        <w:rPr>
          <w:szCs w:val="20"/>
          <w:u w:val="single"/>
        </w:rPr>
        <w:t>Advancing Care Information:</w:t>
      </w:r>
      <w:r w:rsidRPr="00582E49">
        <w:rPr>
          <w:szCs w:val="20"/>
        </w:rPr>
        <w:t xml:space="preserve"> </w:t>
      </w:r>
      <w:r w:rsidRPr="00582E49">
        <w:rPr>
          <w:szCs w:val="19"/>
        </w:rPr>
        <w:t>25 percent of total score in year 1</w:t>
      </w:r>
      <w:r w:rsidR="009F7E18" w:rsidRPr="00582E49">
        <w:rPr>
          <w:rStyle w:val="FootnoteReference"/>
          <w:szCs w:val="19"/>
        </w:rPr>
        <w:footnoteReference w:id="4"/>
      </w:r>
      <w:r w:rsidRPr="00582E49">
        <w:rPr>
          <w:szCs w:val="19"/>
        </w:rPr>
        <w:t>; Replaces the Medicare EHR Incentive Program for physicians, also known as “Meaningful Use”):</w:t>
      </w:r>
    </w:p>
    <w:p w:rsidR="00EA3346" w:rsidRPr="00582E49" w:rsidRDefault="00EA3346" w:rsidP="005B74DC">
      <w:pPr>
        <w:numPr>
          <w:ilvl w:val="1"/>
          <w:numId w:val="2"/>
        </w:numPr>
        <w:spacing w:beforeLines="1" w:afterLines="1"/>
        <w:rPr>
          <w:szCs w:val="19"/>
        </w:rPr>
      </w:pPr>
      <w:r w:rsidRPr="00582E49">
        <w:rPr>
          <w:szCs w:val="19"/>
        </w:rPr>
        <w:t xml:space="preserve">Clinicians would choose to report customizable measures that reflect how they use electronic health record (EHR) technology in their day-to-day practice, with a particular emphasis on interoperability and information exchange. </w:t>
      </w:r>
    </w:p>
    <w:p w:rsidR="002C54A9" w:rsidRPr="00582E49" w:rsidRDefault="00EA3346" w:rsidP="005B74DC">
      <w:pPr>
        <w:numPr>
          <w:ilvl w:val="1"/>
          <w:numId w:val="2"/>
        </w:numPr>
        <w:spacing w:beforeLines="1" w:afterLines="1"/>
        <w:rPr>
          <w:szCs w:val="19"/>
        </w:rPr>
      </w:pPr>
      <w:r w:rsidRPr="00582E49">
        <w:rPr>
          <w:szCs w:val="19"/>
        </w:rPr>
        <w:t>Unlike the existing Meaningful Use program</w:t>
      </w:r>
      <w:r w:rsidR="006E5927">
        <w:rPr>
          <w:szCs w:val="19"/>
        </w:rPr>
        <w:t xml:space="preserve"> authorized in the Obama stimulus legislation of the </w:t>
      </w:r>
      <w:r w:rsidR="006E5927" w:rsidRPr="006E5927">
        <w:rPr>
          <w:szCs w:val="19"/>
        </w:rPr>
        <w:t>American Recovery and Reinvestment Act of 2009 (ARRA)</w:t>
      </w:r>
      <w:r w:rsidR="006E5927">
        <w:rPr>
          <w:szCs w:val="19"/>
        </w:rPr>
        <w:t xml:space="preserve"> by the HiTech Act</w:t>
      </w:r>
      <w:r w:rsidRPr="00582E49">
        <w:rPr>
          <w:szCs w:val="19"/>
        </w:rPr>
        <w:t>, this category would not require all-or-nothing EHR measurement or quarterly reporting</w:t>
      </w:r>
      <w:r w:rsidR="002C54A9" w:rsidRPr="00582E49">
        <w:rPr>
          <w:szCs w:val="19"/>
        </w:rPr>
        <w:t>.</w:t>
      </w:r>
    </w:p>
    <w:p w:rsidR="00EE62C3" w:rsidRPr="00582E49" w:rsidRDefault="00EE62C3" w:rsidP="008D0D95">
      <w:pPr>
        <w:widowControl w:val="0"/>
        <w:autoSpaceDE w:val="0"/>
        <w:autoSpaceDN w:val="0"/>
        <w:adjustRightInd w:val="0"/>
        <w:rPr>
          <w:b/>
          <w:szCs w:val="20"/>
        </w:rPr>
      </w:pPr>
    </w:p>
    <w:p w:rsidR="009F7E18" w:rsidRPr="00582E49" w:rsidRDefault="00447828" w:rsidP="008D0D95">
      <w:pPr>
        <w:widowControl w:val="0"/>
        <w:autoSpaceDE w:val="0"/>
        <w:autoSpaceDN w:val="0"/>
        <w:adjustRightInd w:val="0"/>
        <w:rPr>
          <w:b/>
          <w:szCs w:val="20"/>
        </w:rPr>
      </w:pPr>
      <w:r w:rsidRPr="00582E49">
        <w:rPr>
          <w:rFonts w:cs="Times New Roman"/>
          <w:b/>
        </w:rPr>
        <w:t>POSSIBLE B</w:t>
      </w:r>
      <w:r w:rsidR="006E5927">
        <w:rPr>
          <w:b/>
          <w:szCs w:val="20"/>
        </w:rPr>
        <w:t>USINESS OPPORTUNITIES</w:t>
      </w:r>
      <w:r w:rsidRPr="00582E49">
        <w:rPr>
          <w:b/>
          <w:szCs w:val="20"/>
        </w:rPr>
        <w:t xml:space="preserve"> FOR MAXIMUS</w:t>
      </w:r>
    </w:p>
    <w:p w:rsidR="009F7E18" w:rsidRPr="00582E49" w:rsidRDefault="006E5927" w:rsidP="009F7E18">
      <w:pPr>
        <w:pStyle w:val="ListParagraph"/>
        <w:widowControl w:val="0"/>
        <w:numPr>
          <w:ilvl w:val="0"/>
          <w:numId w:val="4"/>
        </w:numPr>
        <w:autoSpaceDE w:val="0"/>
        <w:autoSpaceDN w:val="0"/>
        <w:adjustRightInd w:val="0"/>
        <w:rPr>
          <w:szCs w:val="20"/>
        </w:rPr>
      </w:pPr>
      <w:r>
        <w:rPr>
          <w:b/>
          <w:szCs w:val="20"/>
        </w:rPr>
        <w:t>Third P</w:t>
      </w:r>
      <w:r w:rsidR="009F7E18" w:rsidRPr="00582E49">
        <w:rPr>
          <w:b/>
          <w:szCs w:val="20"/>
        </w:rPr>
        <w:t>arty Submission</w:t>
      </w:r>
      <w:r>
        <w:rPr>
          <w:b/>
          <w:szCs w:val="20"/>
        </w:rPr>
        <w:t xml:space="preserve"> Survey Vendor</w:t>
      </w:r>
      <w:r w:rsidR="009F7E18" w:rsidRPr="00582E49">
        <w:rPr>
          <w:szCs w:val="20"/>
        </w:rPr>
        <w:t xml:space="preserve">: CMS is proposing to allow third party submission of data to the MIPS through registries, </w:t>
      </w:r>
      <w:r w:rsidR="009F7E18" w:rsidRPr="00582E49">
        <w:rPr>
          <w:rFonts w:cs="Times New Roman"/>
        </w:rPr>
        <w:t>Qualified Clinical Data Registries</w:t>
      </w:r>
      <w:r w:rsidR="009F7E18" w:rsidRPr="00582E49">
        <w:rPr>
          <w:rStyle w:val="FootnoteReference"/>
          <w:rFonts w:cs="Times New Roman"/>
        </w:rPr>
        <w:footnoteReference w:id="5"/>
      </w:r>
      <w:r w:rsidR="009F7E18" w:rsidRPr="00582E49">
        <w:rPr>
          <w:szCs w:val="20"/>
        </w:rPr>
        <w:t xml:space="preserve">, Health IT Vendors and CMS-approved Survey Vendors.  CMS proposed that survey vendors must submit to CMS audits </w:t>
      </w:r>
      <w:r w:rsidR="002C4098" w:rsidRPr="00582E49">
        <w:rPr>
          <w:szCs w:val="20"/>
        </w:rPr>
        <w:t xml:space="preserve">of </w:t>
      </w:r>
      <w:r w:rsidR="002C4098" w:rsidRPr="00582E49">
        <w:rPr>
          <w:rFonts w:cs="Times New Roman"/>
        </w:rPr>
        <w:t xml:space="preserve">data submitted to CMS for MIPS calculation.  </w:t>
      </w:r>
    </w:p>
    <w:p w:rsidR="00582E49" w:rsidRPr="00582E49" w:rsidRDefault="009F7E18" w:rsidP="009F7E18">
      <w:pPr>
        <w:pStyle w:val="ListParagraph"/>
        <w:widowControl w:val="0"/>
        <w:numPr>
          <w:ilvl w:val="0"/>
          <w:numId w:val="4"/>
        </w:numPr>
        <w:autoSpaceDE w:val="0"/>
        <w:autoSpaceDN w:val="0"/>
        <w:adjustRightInd w:val="0"/>
        <w:rPr>
          <w:szCs w:val="20"/>
        </w:rPr>
      </w:pPr>
      <w:r w:rsidRPr="00582E49">
        <w:rPr>
          <w:b/>
          <w:szCs w:val="20"/>
        </w:rPr>
        <w:t>Targeted Review</w:t>
      </w:r>
      <w:r w:rsidR="006E5927">
        <w:rPr>
          <w:b/>
          <w:szCs w:val="20"/>
        </w:rPr>
        <w:t>/Review of MIPS Calculation</w:t>
      </w:r>
      <w:r w:rsidRPr="00582E49">
        <w:rPr>
          <w:b/>
          <w:szCs w:val="20"/>
        </w:rPr>
        <w:t>:</w:t>
      </w:r>
      <w:r w:rsidRPr="00582E49">
        <w:rPr>
          <w:szCs w:val="20"/>
        </w:rPr>
        <w:t xml:space="preserve"> CMS </w:t>
      </w:r>
      <w:r w:rsidRPr="00582E49">
        <w:rPr>
          <w:rFonts w:cs="Times New Roman"/>
        </w:rPr>
        <w:t>propose to adopt a targeted review process under MIPS wherein a MIPS eligible clinician may request that CMS review the calculation of the MIPS adjustment factor and, as applicable, the calculation of the additional MIPS adjustment factor applicable to such MIPS eligible clinician for a year. CMS also proposes a general process by which a MIPS eligible clinician could request targeted review. CMS requests comments on the proposed targeted review.</w:t>
      </w:r>
    </w:p>
    <w:p w:rsidR="00EA3346" w:rsidRPr="00582E49" w:rsidRDefault="00582E49" w:rsidP="00582E49">
      <w:pPr>
        <w:pStyle w:val="ListParagraph"/>
        <w:widowControl w:val="0"/>
        <w:numPr>
          <w:ilvl w:val="1"/>
          <w:numId w:val="4"/>
        </w:numPr>
        <w:autoSpaceDE w:val="0"/>
        <w:autoSpaceDN w:val="0"/>
        <w:adjustRightInd w:val="0"/>
        <w:rPr>
          <w:szCs w:val="20"/>
        </w:rPr>
      </w:pPr>
      <w:r w:rsidRPr="00582E49">
        <w:rPr>
          <w:b/>
          <w:szCs w:val="20"/>
        </w:rPr>
        <w:t xml:space="preserve">Note: </w:t>
      </w:r>
      <w:r w:rsidRPr="00582E49">
        <w:t>As the targeted review process is informal and the statute does not require a formal appeals process, CMS proposes to not include a hearing process. The MIPS eligible clinician may submit additional information to assist in their targeted review at the time of request.</w:t>
      </w:r>
      <w:r w:rsidRPr="00582E49">
        <w:rPr>
          <w:b/>
          <w:szCs w:val="20"/>
        </w:rPr>
        <w:t xml:space="preserve"> </w:t>
      </w:r>
      <w:r w:rsidRPr="00582E49">
        <w:t>D</w:t>
      </w:r>
      <w:r w:rsidRPr="00582E49">
        <w:rPr>
          <w:rFonts w:cs="Times New Roman"/>
        </w:rPr>
        <w:t>ecisions based on the targeted review will be final, and there will be no further review or appeal.</w:t>
      </w:r>
      <w:r w:rsidRPr="00582E49">
        <w:t xml:space="preserve"> </w:t>
      </w:r>
    </w:p>
    <w:p w:rsidR="008D0D95" w:rsidRPr="00582E49" w:rsidRDefault="008D0D95" w:rsidP="005B74DC">
      <w:pPr>
        <w:spacing w:beforeLines="1" w:afterLines="1"/>
        <w:outlineLvl w:val="2"/>
        <w:rPr>
          <w:b/>
          <w:szCs w:val="20"/>
        </w:rPr>
      </w:pPr>
    </w:p>
    <w:p w:rsidR="002C4098" w:rsidRPr="00582E49" w:rsidRDefault="00210C28" w:rsidP="005B74DC">
      <w:pPr>
        <w:spacing w:beforeLines="1" w:afterLines="1"/>
        <w:outlineLvl w:val="2"/>
        <w:rPr>
          <w:b/>
          <w:szCs w:val="20"/>
          <w:u w:val="single"/>
        </w:rPr>
      </w:pPr>
      <w:r w:rsidRPr="00582E49">
        <w:rPr>
          <w:b/>
          <w:szCs w:val="20"/>
          <w:u w:val="single"/>
        </w:rPr>
        <w:t>Al</w:t>
      </w:r>
      <w:r w:rsidR="002C4098" w:rsidRPr="00582E49">
        <w:rPr>
          <w:b/>
          <w:szCs w:val="20"/>
          <w:u w:val="single"/>
        </w:rPr>
        <w:t>ternative Payment Models (APMs)</w:t>
      </w:r>
    </w:p>
    <w:p w:rsidR="004331DA" w:rsidRPr="00582E49" w:rsidRDefault="002C4098" w:rsidP="005B74DC">
      <w:pPr>
        <w:spacing w:beforeLines="1" w:afterLines="1"/>
        <w:outlineLvl w:val="2"/>
        <w:rPr>
          <w:rFonts w:cs="Times New Roman"/>
        </w:rPr>
      </w:pPr>
      <w:r w:rsidRPr="00582E49">
        <w:t xml:space="preserve">An Advanced APM provides a path through which eligible clinicians can become a Qualifying APM Professional and earn incentive payments for participating in the APM. </w:t>
      </w:r>
      <w:r w:rsidR="004331DA" w:rsidRPr="00582E49">
        <w:rPr>
          <w:rFonts w:cs="Times New Roman"/>
        </w:rPr>
        <w:t xml:space="preserve">To be an Advanced APM, an APM must meet three requirements: </w:t>
      </w:r>
    </w:p>
    <w:p w:rsidR="004331DA" w:rsidRPr="00582E49" w:rsidRDefault="004331DA" w:rsidP="004331DA">
      <w:pPr>
        <w:pStyle w:val="ListParagraph"/>
        <w:widowControl w:val="0"/>
        <w:numPr>
          <w:ilvl w:val="0"/>
          <w:numId w:val="6"/>
        </w:numPr>
        <w:autoSpaceDE w:val="0"/>
        <w:autoSpaceDN w:val="0"/>
        <w:adjustRightInd w:val="0"/>
        <w:rPr>
          <w:rFonts w:cs="Times New Roman"/>
        </w:rPr>
      </w:pPr>
      <w:r w:rsidRPr="00582E49">
        <w:rPr>
          <w:rFonts w:cs="Times New Roman"/>
        </w:rPr>
        <w:t xml:space="preserve">Require participants to use certified EHR technology; </w:t>
      </w:r>
    </w:p>
    <w:p w:rsidR="004331DA" w:rsidRPr="00582E49" w:rsidRDefault="004331DA" w:rsidP="005B74DC">
      <w:pPr>
        <w:pStyle w:val="ListParagraph"/>
        <w:widowControl w:val="0"/>
        <w:numPr>
          <w:ilvl w:val="0"/>
          <w:numId w:val="6"/>
        </w:numPr>
        <w:autoSpaceDE w:val="0"/>
        <w:autoSpaceDN w:val="0"/>
        <w:adjustRightInd w:val="0"/>
        <w:spacing w:beforeLines="1" w:afterLines="1"/>
        <w:outlineLvl w:val="2"/>
      </w:pPr>
      <w:r w:rsidRPr="00582E49">
        <w:rPr>
          <w:rFonts w:cs="Times New Roman"/>
        </w:rPr>
        <w:t xml:space="preserve">Provide payment for covered professional services based on quality measures comparable to those used in the quality performance category of MIPS; and </w:t>
      </w:r>
    </w:p>
    <w:p w:rsidR="002C4098" w:rsidRPr="00582E49" w:rsidRDefault="004331DA" w:rsidP="005B74DC">
      <w:pPr>
        <w:pStyle w:val="ListParagraph"/>
        <w:widowControl w:val="0"/>
        <w:numPr>
          <w:ilvl w:val="0"/>
          <w:numId w:val="6"/>
        </w:numPr>
        <w:autoSpaceDE w:val="0"/>
        <w:autoSpaceDN w:val="0"/>
        <w:adjustRightInd w:val="0"/>
        <w:spacing w:beforeLines="1" w:afterLines="1"/>
        <w:outlineLvl w:val="2"/>
      </w:pPr>
      <w:r w:rsidRPr="00582E49">
        <w:rPr>
          <w:rFonts w:cs="Times New Roman"/>
        </w:rPr>
        <w:t>Be either a Medical Home Model expanded under section 1115A of the Act or bear more than a nominal amount of risk for monetary loses.</w:t>
      </w:r>
    </w:p>
    <w:p w:rsidR="002C4098" w:rsidRPr="00582E49" w:rsidRDefault="002C4098" w:rsidP="005B74DC">
      <w:pPr>
        <w:spacing w:beforeLines="1" w:afterLines="1"/>
        <w:outlineLvl w:val="2"/>
      </w:pPr>
    </w:p>
    <w:p w:rsidR="002C4098" w:rsidRPr="00582E49" w:rsidRDefault="002C4098" w:rsidP="005B74DC">
      <w:pPr>
        <w:spacing w:beforeLines="1" w:afterLines="1"/>
        <w:outlineLvl w:val="2"/>
        <w:rPr>
          <w:szCs w:val="20"/>
        </w:rPr>
      </w:pPr>
      <w:r w:rsidRPr="00582E49">
        <w:rPr>
          <w:szCs w:val="20"/>
        </w:rPr>
        <w:t xml:space="preserve">The proposed rule includes a list of models that would qualify under the terms of the proposed rule as Advanced APMs including </w:t>
      </w:r>
    </w:p>
    <w:p w:rsidR="002C4098" w:rsidRPr="00582E49" w:rsidRDefault="002C4098" w:rsidP="005B74DC">
      <w:pPr>
        <w:pStyle w:val="ListParagraph"/>
        <w:numPr>
          <w:ilvl w:val="0"/>
          <w:numId w:val="5"/>
        </w:numPr>
        <w:spacing w:beforeLines="1" w:afterLines="1"/>
        <w:outlineLvl w:val="2"/>
        <w:rPr>
          <w:szCs w:val="20"/>
        </w:rPr>
      </w:pPr>
      <w:r w:rsidRPr="00582E49">
        <w:rPr>
          <w:szCs w:val="20"/>
        </w:rPr>
        <w:t>Comprehensive ESRD Care Model (Large Dialysis Medicare Shared Savings Program—Track 3 Organization arrangement)</w:t>
      </w:r>
    </w:p>
    <w:p w:rsidR="002C4098" w:rsidRPr="00582E49" w:rsidRDefault="002C4098" w:rsidP="005B74DC">
      <w:pPr>
        <w:pStyle w:val="ListParagraph"/>
        <w:numPr>
          <w:ilvl w:val="0"/>
          <w:numId w:val="5"/>
        </w:numPr>
        <w:spacing w:beforeLines="1" w:afterLines="1"/>
        <w:outlineLvl w:val="2"/>
        <w:rPr>
          <w:szCs w:val="20"/>
        </w:rPr>
      </w:pPr>
      <w:r w:rsidRPr="00582E49">
        <w:rPr>
          <w:szCs w:val="20"/>
        </w:rPr>
        <w:t>Next Generation ACO Model</w:t>
      </w:r>
    </w:p>
    <w:p w:rsidR="002C4098" w:rsidRPr="00582E49" w:rsidRDefault="002C4098" w:rsidP="005B74DC">
      <w:pPr>
        <w:pStyle w:val="ListParagraph"/>
        <w:numPr>
          <w:ilvl w:val="0"/>
          <w:numId w:val="5"/>
        </w:numPr>
        <w:spacing w:beforeLines="1" w:afterLines="1"/>
        <w:outlineLvl w:val="2"/>
        <w:rPr>
          <w:szCs w:val="20"/>
        </w:rPr>
      </w:pPr>
      <w:r w:rsidRPr="00582E49">
        <w:rPr>
          <w:szCs w:val="20"/>
        </w:rPr>
        <w:t>Comprehensive Primary Care Plus (CPC+)</w:t>
      </w:r>
    </w:p>
    <w:p w:rsidR="002C4098" w:rsidRPr="00582E49" w:rsidRDefault="002C4098" w:rsidP="005B74DC">
      <w:pPr>
        <w:pStyle w:val="ListParagraph"/>
        <w:numPr>
          <w:ilvl w:val="0"/>
          <w:numId w:val="5"/>
        </w:numPr>
        <w:spacing w:beforeLines="1" w:afterLines="1"/>
        <w:outlineLvl w:val="2"/>
        <w:rPr>
          <w:szCs w:val="20"/>
        </w:rPr>
      </w:pPr>
      <w:r w:rsidRPr="00582E49">
        <w:rPr>
          <w:szCs w:val="20"/>
        </w:rPr>
        <w:t>Oncology Care Model Two-Sided Risk Arrangement</w:t>
      </w:r>
    </w:p>
    <w:p w:rsidR="00E31492" w:rsidRPr="00582E49" w:rsidRDefault="002C4098" w:rsidP="005B74DC">
      <w:pPr>
        <w:pStyle w:val="ListParagraph"/>
        <w:numPr>
          <w:ilvl w:val="0"/>
          <w:numId w:val="5"/>
        </w:numPr>
        <w:spacing w:beforeLines="1" w:afterLines="1"/>
        <w:outlineLvl w:val="2"/>
        <w:rPr>
          <w:szCs w:val="20"/>
        </w:rPr>
      </w:pPr>
      <w:r w:rsidRPr="00582E49">
        <w:rPr>
          <w:szCs w:val="20"/>
        </w:rPr>
        <w:t>Medicare Shared Savings Program—Track 2 (available in 2018)</w:t>
      </w:r>
      <w:r w:rsidR="004331DA" w:rsidRPr="00582E49">
        <w:rPr>
          <w:szCs w:val="20"/>
        </w:rPr>
        <w:t xml:space="preserve">; and </w:t>
      </w:r>
    </w:p>
    <w:p w:rsidR="004331DA" w:rsidRPr="00582E49" w:rsidRDefault="004331DA" w:rsidP="004331DA">
      <w:pPr>
        <w:rPr>
          <w:szCs w:val="19"/>
        </w:rPr>
      </w:pPr>
    </w:p>
    <w:p w:rsidR="004331DA" w:rsidRPr="00582E49" w:rsidRDefault="00E31492" w:rsidP="004331DA">
      <w:pPr>
        <w:rPr>
          <w:szCs w:val="19"/>
        </w:rPr>
      </w:pPr>
      <w:r w:rsidRPr="00582E49">
        <w:rPr>
          <w:szCs w:val="19"/>
        </w:rPr>
        <w:t>CMS would update this list annually to add new payment models that qualify to be an Advanced APM.</w:t>
      </w:r>
      <w:r w:rsidR="004331DA" w:rsidRPr="00582E49">
        <w:rPr>
          <w:szCs w:val="19"/>
        </w:rPr>
        <w:t xml:space="preserve"> The proposed rule also establishes the Physician-Focused Payment Technical Advisory Committee to review and assess additional physician-focused payment models suggested by stakeholders. </w:t>
      </w:r>
    </w:p>
    <w:p w:rsidR="008C03B9" w:rsidRPr="00582E49" w:rsidRDefault="008C03B9" w:rsidP="004331DA">
      <w:pPr>
        <w:rPr>
          <w:szCs w:val="19"/>
        </w:rPr>
      </w:pPr>
    </w:p>
    <w:p w:rsidR="00582E49" w:rsidRPr="007D099A" w:rsidRDefault="008C03B9">
      <w:pPr>
        <w:rPr>
          <w:b/>
          <w:szCs w:val="19"/>
        </w:rPr>
        <w:sectPr w:rsidR="00582E49" w:rsidRPr="007D099A">
          <w:headerReference w:type="default" r:id="rId7"/>
          <w:headerReference w:type="first" r:id="rId8"/>
          <w:footerReference w:type="first" r:id="rId9"/>
          <w:type w:val="continuous"/>
          <w:pgSz w:w="12240" w:h="15840"/>
          <w:pgMar w:top="1440" w:right="1440" w:bottom="1440" w:left="1440" w:gutter="0"/>
          <w:titlePg/>
        </w:sectPr>
      </w:pPr>
      <w:r w:rsidRPr="00582E49">
        <w:rPr>
          <w:szCs w:val="19"/>
        </w:rPr>
        <w:t xml:space="preserve">To qualify for incentive payments, clinicians would have to receive enough of their payments or see enough of their patients through Advanced APMs. Clinicians will have the option to be assessed as a group to qualify for incentive payments. </w:t>
      </w:r>
      <w:r w:rsidR="00582E49" w:rsidRPr="00582E49">
        <w:rPr>
          <w:szCs w:val="19"/>
        </w:rPr>
        <w:t>The level of participation in an Advanced APM required to receive an incentive p</w:t>
      </w:r>
      <w:r w:rsidR="007D099A">
        <w:rPr>
          <w:szCs w:val="19"/>
        </w:rPr>
        <w:t xml:space="preserve">ayment increases over time.  (See </w:t>
      </w:r>
      <w:r w:rsidR="007D099A" w:rsidRPr="007D099A">
        <w:rPr>
          <w:szCs w:val="19"/>
        </w:rPr>
        <w:t>“Participation Levels Required in Advanced APM to Receive Incentive Payment Increase” in Appendix Timelines.)</w:t>
      </w:r>
    </w:p>
    <w:p w:rsidR="00582E49" w:rsidRPr="00582E49" w:rsidRDefault="00582E49">
      <w:pPr>
        <w:rPr>
          <w:szCs w:val="19"/>
        </w:rPr>
      </w:pPr>
    </w:p>
    <w:p w:rsidR="00582E49" w:rsidRPr="00582E49" w:rsidRDefault="008C03B9">
      <w:pPr>
        <w:rPr>
          <w:szCs w:val="19"/>
        </w:rPr>
      </w:pPr>
      <w:r w:rsidRPr="00582E49">
        <w:rPr>
          <w:szCs w:val="19"/>
        </w:rPr>
        <w:t xml:space="preserve">In 2019 and 2020, the participation requirements for Advanced APMs are only for Medicare payments or patients. Starting in 2021, the participation requirements for Advanced APMs may include non-Medicare payers (such as private insurers or state Medicaid programs) and patients. </w:t>
      </w:r>
    </w:p>
    <w:p w:rsidR="00582E49" w:rsidRPr="00582E49" w:rsidRDefault="00582E49">
      <w:pPr>
        <w:rPr>
          <w:szCs w:val="19"/>
        </w:rPr>
      </w:pPr>
    </w:p>
    <w:p w:rsidR="008C03B9" w:rsidRPr="00582E49" w:rsidRDefault="008C03B9">
      <w:pPr>
        <w:rPr>
          <w:szCs w:val="19"/>
        </w:rPr>
      </w:pPr>
      <w:r w:rsidRPr="00582E49">
        <w:rPr>
          <w:szCs w:val="19"/>
        </w:rPr>
        <w:t>CMS estimates that as many as 90,000 clinicians could receive the bonus for substantially participating in Advanced APMs in the first payment year.</w:t>
      </w:r>
    </w:p>
    <w:p w:rsidR="008C03B9" w:rsidRPr="00582E49" w:rsidRDefault="008C03B9">
      <w:pPr>
        <w:rPr>
          <w:szCs w:val="19"/>
        </w:rPr>
      </w:pPr>
    </w:p>
    <w:p w:rsidR="008C03B9" w:rsidRPr="00582E49" w:rsidRDefault="008C03B9" w:rsidP="008C03B9">
      <w:r w:rsidRPr="00582E49">
        <w:t xml:space="preserve">MACRA did not change how any particular APM rewards value. Instead, it creates extra incentives for participation in Advanced APMs. For years 2019 through 2024, a clinician who meets the law’s standards for Advanced APM participation is excluded from MIPS adjustments and receives a 5 percent Medicare Part B incentive payment. For years 2026 and later, a clinician who meets </w:t>
      </w:r>
      <w:r w:rsidR="00582E49" w:rsidRPr="00582E49">
        <w:t>these standards</w:t>
      </w:r>
      <w:r w:rsidRPr="00582E49">
        <w:t xml:space="preserve"> is excluded from MIPS adjustments and receives a higher fee schedule update than those clinicians who do not significantly participate in an Advanced APM. </w:t>
      </w:r>
    </w:p>
    <w:p w:rsidR="00254BD3" w:rsidRPr="00582E49" w:rsidRDefault="00254BD3"/>
    <w:p w:rsidR="00B728AE" w:rsidRDefault="00582E49" w:rsidP="00582E49">
      <w:pPr>
        <w:widowControl w:val="0"/>
        <w:autoSpaceDE w:val="0"/>
        <w:autoSpaceDN w:val="0"/>
        <w:adjustRightInd w:val="0"/>
        <w:rPr>
          <w:rFonts w:cs="Times New Roman"/>
        </w:rPr>
      </w:pPr>
      <w:r w:rsidRPr="00582E49">
        <w:rPr>
          <w:rFonts w:cs="Times New Roman"/>
        </w:rPr>
        <w:t>CMS does not intend to create additional performance assessments or audits beyond those specified under an APM. Rather, the process for determining whether an eligible clinician receives the APM Incentive Payment should focus on the relative degree of participation by eligible clinicians in Advanced APMs, not on their performance within the APM.</w:t>
      </w:r>
      <w:r w:rsidR="006E5927">
        <w:rPr>
          <w:rFonts w:cs="Times New Roman"/>
        </w:rPr>
        <w:t xml:space="preserve">  Thus, physicians and othe</w:t>
      </w:r>
      <w:r w:rsidR="007D099A">
        <w:rPr>
          <w:rFonts w:cs="Times New Roman"/>
        </w:rPr>
        <w:t>r</w:t>
      </w:r>
      <w:r w:rsidR="006E5927">
        <w:rPr>
          <w:rFonts w:cs="Times New Roman"/>
        </w:rPr>
        <w:t xml:space="preserve"> EPs are highly incentivized to participate in APMs to avoid downward payment adjustments under MIPS.</w:t>
      </w:r>
    </w:p>
    <w:p w:rsidR="00862452" w:rsidRDefault="00B728AE" w:rsidP="00582E49">
      <w:pPr>
        <w:widowControl w:val="0"/>
        <w:autoSpaceDE w:val="0"/>
        <w:autoSpaceDN w:val="0"/>
        <w:adjustRightInd w:val="0"/>
        <w:rPr>
          <w:rFonts w:cs="Times New Roman"/>
        </w:rPr>
      </w:pPr>
      <w:r>
        <w:rPr>
          <w:rFonts w:cs="Times New Roman"/>
        </w:rPr>
        <w:br w:type="page"/>
      </w:r>
    </w:p>
    <w:p w:rsidR="007D099A" w:rsidRPr="00127618" w:rsidRDefault="007D099A" w:rsidP="00127618">
      <w:pPr>
        <w:widowControl w:val="0"/>
        <w:autoSpaceDE w:val="0"/>
        <w:autoSpaceDN w:val="0"/>
        <w:adjustRightInd w:val="0"/>
        <w:jc w:val="center"/>
        <w:rPr>
          <w:b/>
          <w:sz w:val="28"/>
          <w:szCs w:val="20"/>
        </w:rPr>
      </w:pPr>
      <w:r w:rsidRPr="00127618">
        <w:rPr>
          <w:b/>
          <w:sz w:val="28"/>
          <w:szCs w:val="20"/>
        </w:rPr>
        <w:t>APPENDIX:  Timelines</w:t>
      </w:r>
    </w:p>
    <w:p w:rsidR="00862452" w:rsidRDefault="00862452" w:rsidP="00862452">
      <w:pPr>
        <w:widowControl w:val="0"/>
        <w:autoSpaceDE w:val="0"/>
        <w:autoSpaceDN w:val="0"/>
        <w:adjustRightInd w:val="0"/>
        <w:rPr>
          <w:b/>
          <w:szCs w:val="20"/>
        </w:rPr>
      </w:pPr>
    </w:p>
    <w:p w:rsidR="00127618" w:rsidRDefault="00862452" w:rsidP="00862452">
      <w:pPr>
        <w:widowControl w:val="0"/>
        <w:autoSpaceDE w:val="0"/>
        <w:autoSpaceDN w:val="0"/>
        <w:adjustRightInd w:val="0"/>
        <w:rPr>
          <w:b/>
          <w:szCs w:val="20"/>
        </w:rPr>
      </w:pPr>
      <w:r>
        <w:rPr>
          <w:b/>
          <w:szCs w:val="20"/>
        </w:rPr>
        <w:t xml:space="preserve">MIPS/APM Payment Timeline </w:t>
      </w:r>
    </w:p>
    <w:p w:rsidR="00862452" w:rsidRDefault="00862452" w:rsidP="00862452">
      <w:pPr>
        <w:widowControl w:val="0"/>
        <w:autoSpaceDE w:val="0"/>
        <w:autoSpaceDN w:val="0"/>
        <w:adjustRightInd w:val="0"/>
        <w:rPr>
          <w:b/>
          <w:szCs w:val="20"/>
        </w:rPr>
      </w:pPr>
    </w:p>
    <w:tbl>
      <w:tblPr>
        <w:tblStyle w:val="TableGrid"/>
        <w:tblW w:w="0" w:type="auto"/>
        <w:tblLayout w:type="fixed"/>
        <w:tblLook w:val="00BF"/>
      </w:tblPr>
      <w:tblGrid>
        <w:gridCol w:w="2628"/>
        <w:gridCol w:w="568"/>
        <w:gridCol w:w="540"/>
        <w:gridCol w:w="540"/>
        <w:gridCol w:w="540"/>
        <w:gridCol w:w="536"/>
        <w:gridCol w:w="576"/>
        <w:gridCol w:w="512"/>
        <w:gridCol w:w="512"/>
        <w:gridCol w:w="512"/>
        <w:gridCol w:w="502"/>
      </w:tblGrid>
      <w:tr w:rsidR="00862452">
        <w:trPr>
          <w:cantSplit/>
          <w:trHeight w:val="1134"/>
        </w:trPr>
        <w:tc>
          <w:tcPr>
            <w:tcW w:w="2628" w:type="dxa"/>
          </w:tcPr>
          <w:p w:rsidR="00862452" w:rsidRDefault="00862452" w:rsidP="008D0D95">
            <w:pPr>
              <w:widowControl w:val="0"/>
              <w:autoSpaceDE w:val="0"/>
              <w:autoSpaceDN w:val="0"/>
              <w:adjustRightInd w:val="0"/>
              <w:rPr>
                <w:b/>
                <w:szCs w:val="20"/>
              </w:rPr>
            </w:pPr>
          </w:p>
        </w:tc>
        <w:tc>
          <w:tcPr>
            <w:tcW w:w="568" w:type="dxa"/>
            <w:textDirection w:val="btLr"/>
          </w:tcPr>
          <w:p w:rsidR="00862452" w:rsidRDefault="00862452" w:rsidP="00862452">
            <w:pPr>
              <w:widowControl w:val="0"/>
              <w:autoSpaceDE w:val="0"/>
              <w:autoSpaceDN w:val="0"/>
              <w:adjustRightInd w:val="0"/>
              <w:ind w:left="113" w:right="113"/>
              <w:rPr>
                <w:b/>
                <w:szCs w:val="20"/>
              </w:rPr>
            </w:pPr>
            <w:r>
              <w:rPr>
                <w:b/>
                <w:szCs w:val="20"/>
              </w:rPr>
              <w:t>2016</w:t>
            </w:r>
          </w:p>
        </w:tc>
        <w:tc>
          <w:tcPr>
            <w:tcW w:w="540" w:type="dxa"/>
            <w:textDirection w:val="btLr"/>
          </w:tcPr>
          <w:p w:rsidR="00862452" w:rsidRDefault="00862452" w:rsidP="00862452">
            <w:pPr>
              <w:widowControl w:val="0"/>
              <w:autoSpaceDE w:val="0"/>
              <w:autoSpaceDN w:val="0"/>
              <w:adjustRightInd w:val="0"/>
              <w:ind w:left="113" w:right="113"/>
              <w:rPr>
                <w:b/>
                <w:szCs w:val="20"/>
              </w:rPr>
            </w:pPr>
            <w:r>
              <w:rPr>
                <w:b/>
                <w:szCs w:val="20"/>
              </w:rPr>
              <w:t>2017</w:t>
            </w:r>
          </w:p>
        </w:tc>
        <w:tc>
          <w:tcPr>
            <w:tcW w:w="540" w:type="dxa"/>
            <w:textDirection w:val="btLr"/>
          </w:tcPr>
          <w:p w:rsidR="00862452" w:rsidRDefault="00862452" w:rsidP="00862452">
            <w:pPr>
              <w:widowControl w:val="0"/>
              <w:autoSpaceDE w:val="0"/>
              <w:autoSpaceDN w:val="0"/>
              <w:adjustRightInd w:val="0"/>
              <w:ind w:left="113" w:right="113"/>
              <w:rPr>
                <w:b/>
                <w:szCs w:val="20"/>
              </w:rPr>
            </w:pPr>
            <w:r>
              <w:rPr>
                <w:b/>
                <w:szCs w:val="20"/>
              </w:rPr>
              <w:t>2018</w:t>
            </w:r>
          </w:p>
        </w:tc>
        <w:tc>
          <w:tcPr>
            <w:tcW w:w="540" w:type="dxa"/>
            <w:textDirection w:val="btLr"/>
          </w:tcPr>
          <w:p w:rsidR="00862452" w:rsidRDefault="00862452" w:rsidP="00862452">
            <w:pPr>
              <w:widowControl w:val="0"/>
              <w:autoSpaceDE w:val="0"/>
              <w:autoSpaceDN w:val="0"/>
              <w:adjustRightInd w:val="0"/>
              <w:ind w:left="113" w:right="113"/>
              <w:rPr>
                <w:b/>
                <w:szCs w:val="20"/>
              </w:rPr>
            </w:pPr>
            <w:r>
              <w:rPr>
                <w:b/>
                <w:szCs w:val="20"/>
              </w:rPr>
              <w:t>2019</w:t>
            </w:r>
          </w:p>
        </w:tc>
        <w:tc>
          <w:tcPr>
            <w:tcW w:w="536" w:type="dxa"/>
            <w:textDirection w:val="btLr"/>
          </w:tcPr>
          <w:p w:rsidR="00862452" w:rsidRDefault="00862452" w:rsidP="00862452">
            <w:pPr>
              <w:widowControl w:val="0"/>
              <w:autoSpaceDE w:val="0"/>
              <w:autoSpaceDN w:val="0"/>
              <w:adjustRightInd w:val="0"/>
              <w:ind w:left="113" w:right="113"/>
              <w:rPr>
                <w:b/>
                <w:szCs w:val="20"/>
              </w:rPr>
            </w:pPr>
            <w:r>
              <w:rPr>
                <w:b/>
                <w:szCs w:val="20"/>
              </w:rPr>
              <w:t>2020</w:t>
            </w:r>
          </w:p>
        </w:tc>
        <w:tc>
          <w:tcPr>
            <w:tcW w:w="576" w:type="dxa"/>
            <w:textDirection w:val="btLr"/>
          </w:tcPr>
          <w:p w:rsidR="00862452" w:rsidRDefault="00862452" w:rsidP="00862452">
            <w:pPr>
              <w:widowControl w:val="0"/>
              <w:autoSpaceDE w:val="0"/>
              <w:autoSpaceDN w:val="0"/>
              <w:adjustRightInd w:val="0"/>
              <w:ind w:left="113" w:right="113"/>
              <w:rPr>
                <w:b/>
                <w:szCs w:val="20"/>
              </w:rPr>
            </w:pPr>
            <w:r>
              <w:rPr>
                <w:b/>
                <w:szCs w:val="20"/>
              </w:rPr>
              <w:t>2021</w:t>
            </w:r>
          </w:p>
        </w:tc>
        <w:tc>
          <w:tcPr>
            <w:tcW w:w="512" w:type="dxa"/>
            <w:textDirection w:val="btLr"/>
          </w:tcPr>
          <w:p w:rsidR="00862452" w:rsidRDefault="00862452" w:rsidP="00862452">
            <w:pPr>
              <w:widowControl w:val="0"/>
              <w:autoSpaceDE w:val="0"/>
              <w:autoSpaceDN w:val="0"/>
              <w:adjustRightInd w:val="0"/>
              <w:ind w:left="113" w:right="113"/>
              <w:rPr>
                <w:b/>
                <w:szCs w:val="20"/>
              </w:rPr>
            </w:pPr>
            <w:r>
              <w:rPr>
                <w:b/>
                <w:szCs w:val="20"/>
              </w:rPr>
              <w:t>2022</w:t>
            </w:r>
          </w:p>
        </w:tc>
        <w:tc>
          <w:tcPr>
            <w:tcW w:w="512" w:type="dxa"/>
            <w:textDirection w:val="btLr"/>
          </w:tcPr>
          <w:p w:rsidR="00862452" w:rsidRDefault="00862452" w:rsidP="00862452">
            <w:pPr>
              <w:widowControl w:val="0"/>
              <w:autoSpaceDE w:val="0"/>
              <w:autoSpaceDN w:val="0"/>
              <w:adjustRightInd w:val="0"/>
              <w:ind w:left="113" w:right="113"/>
              <w:rPr>
                <w:b/>
                <w:szCs w:val="20"/>
              </w:rPr>
            </w:pPr>
            <w:r>
              <w:rPr>
                <w:b/>
                <w:szCs w:val="20"/>
              </w:rPr>
              <w:t>2023</w:t>
            </w:r>
          </w:p>
        </w:tc>
        <w:tc>
          <w:tcPr>
            <w:tcW w:w="512" w:type="dxa"/>
            <w:textDirection w:val="btLr"/>
          </w:tcPr>
          <w:p w:rsidR="00862452" w:rsidRDefault="00862452" w:rsidP="00862452">
            <w:pPr>
              <w:widowControl w:val="0"/>
              <w:autoSpaceDE w:val="0"/>
              <w:autoSpaceDN w:val="0"/>
              <w:adjustRightInd w:val="0"/>
              <w:ind w:left="113" w:right="113"/>
              <w:rPr>
                <w:b/>
                <w:szCs w:val="20"/>
              </w:rPr>
            </w:pPr>
            <w:r>
              <w:rPr>
                <w:b/>
                <w:szCs w:val="20"/>
              </w:rPr>
              <w:t>2024</w:t>
            </w:r>
          </w:p>
        </w:tc>
        <w:tc>
          <w:tcPr>
            <w:tcW w:w="502" w:type="dxa"/>
            <w:textDirection w:val="btLr"/>
          </w:tcPr>
          <w:p w:rsidR="00862452" w:rsidRDefault="00862452" w:rsidP="00862452">
            <w:pPr>
              <w:widowControl w:val="0"/>
              <w:autoSpaceDE w:val="0"/>
              <w:autoSpaceDN w:val="0"/>
              <w:adjustRightInd w:val="0"/>
              <w:ind w:left="113" w:right="113"/>
              <w:rPr>
                <w:b/>
                <w:szCs w:val="20"/>
              </w:rPr>
            </w:pPr>
            <w:r>
              <w:rPr>
                <w:b/>
                <w:szCs w:val="20"/>
              </w:rPr>
              <w:t>2025</w:t>
            </w:r>
          </w:p>
        </w:tc>
      </w:tr>
      <w:tr w:rsidR="00862452">
        <w:tc>
          <w:tcPr>
            <w:tcW w:w="2628" w:type="dxa"/>
          </w:tcPr>
          <w:p w:rsidR="00862452" w:rsidRDefault="00862452" w:rsidP="008D0D95">
            <w:pPr>
              <w:widowControl w:val="0"/>
              <w:autoSpaceDE w:val="0"/>
              <w:autoSpaceDN w:val="0"/>
              <w:adjustRightInd w:val="0"/>
              <w:rPr>
                <w:b/>
                <w:szCs w:val="20"/>
              </w:rPr>
            </w:pPr>
            <w:r>
              <w:rPr>
                <w:b/>
                <w:szCs w:val="20"/>
              </w:rPr>
              <w:t>Fee schedule Update</w:t>
            </w:r>
          </w:p>
        </w:tc>
        <w:tc>
          <w:tcPr>
            <w:tcW w:w="568" w:type="dxa"/>
          </w:tcPr>
          <w:p w:rsidR="00862452" w:rsidRPr="00862452" w:rsidRDefault="00862452" w:rsidP="008D0D95">
            <w:pPr>
              <w:widowControl w:val="0"/>
              <w:autoSpaceDE w:val="0"/>
              <w:autoSpaceDN w:val="0"/>
              <w:adjustRightInd w:val="0"/>
              <w:rPr>
                <w:szCs w:val="20"/>
              </w:rPr>
            </w:pPr>
            <w:r w:rsidRPr="00862452">
              <w:rPr>
                <w:szCs w:val="20"/>
              </w:rPr>
              <w:t>0.5</w:t>
            </w:r>
          </w:p>
        </w:tc>
        <w:tc>
          <w:tcPr>
            <w:tcW w:w="540" w:type="dxa"/>
          </w:tcPr>
          <w:p w:rsidR="00862452" w:rsidRPr="00862452" w:rsidRDefault="00862452" w:rsidP="008D0D95">
            <w:pPr>
              <w:widowControl w:val="0"/>
              <w:autoSpaceDE w:val="0"/>
              <w:autoSpaceDN w:val="0"/>
              <w:adjustRightInd w:val="0"/>
              <w:rPr>
                <w:szCs w:val="20"/>
              </w:rPr>
            </w:pPr>
            <w:r w:rsidRPr="00862452">
              <w:rPr>
                <w:szCs w:val="20"/>
              </w:rPr>
              <w:t>0.5</w:t>
            </w:r>
          </w:p>
        </w:tc>
        <w:tc>
          <w:tcPr>
            <w:tcW w:w="540" w:type="dxa"/>
          </w:tcPr>
          <w:p w:rsidR="00862452" w:rsidRPr="00862452" w:rsidRDefault="00862452" w:rsidP="008D0D95">
            <w:pPr>
              <w:widowControl w:val="0"/>
              <w:autoSpaceDE w:val="0"/>
              <w:autoSpaceDN w:val="0"/>
              <w:adjustRightInd w:val="0"/>
              <w:rPr>
                <w:szCs w:val="20"/>
              </w:rPr>
            </w:pPr>
            <w:r w:rsidRPr="00862452">
              <w:rPr>
                <w:szCs w:val="20"/>
              </w:rPr>
              <w:t>0.5</w:t>
            </w:r>
          </w:p>
        </w:tc>
        <w:tc>
          <w:tcPr>
            <w:tcW w:w="540" w:type="dxa"/>
          </w:tcPr>
          <w:p w:rsidR="00862452" w:rsidRPr="00862452" w:rsidRDefault="00862452" w:rsidP="008D0D95">
            <w:pPr>
              <w:widowControl w:val="0"/>
              <w:autoSpaceDE w:val="0"/>
              <w:autoSpaceDN w:val="0"/>
              <w:adjustRightInd w:val="0"/>
              <w:rPr>
                <w:szCs w:val="20"/>
              </w:rPr>
            </w:pPr>
            <w:r w:rsidRPr="00862452">
              <w:rPr>
                <w:szCs w:val="20"/>
              </w:rPr>
              <w:t>0.5</w:t>
            </w:r>
          </w:p>
        </w:tc>
        <w:tc>
          <w:tcPr>
            <w:tcW w:w="536" w:type="dxa"/>
          </w:tcPr>
          <w:p w:rsidR="00862452" w:rsidRPr="00862452" w:rsidRDefault="00862452" w:rsidP="008D0D95">
            <w:pPr>
              <w:widowControl w:val="0"/>
              <w:autoSpaceDE w:val="0"/>
              <w:autoSpaceDN w:val="0"/>
              <w:adjustRightInd w:val="0"/>
              <w:rPr>
                <w:szCs w:val="20"/>
              </w:rPr>
            </w:pPr>
            <w:r w:rsidRPr="00862452">
              <w:rPr>
                <w:szCs w:val="20"/>
              </w:rPr>
              <w:t>0</w:t>
            </w:r>
          </w:p>
        </w:tc>
        <w:tc>
          <w:tcPr>
            <w:tcW w:w="576" w:type="dxa"/>
          </w:tcPr>
          <w:p w:rsidR="00862452" w:rsidRPr="00862452" w:rsidRDefault="00862452" w:rsidP="008D0D95">
            <w:pPr>
              <w:widowControl w:val="0"/>
              <w:autoSpaceDE w:val="0"/>
              <w:autoSpaceDN w:val="0"/>
              <w:adjustRightInd w:val="0"/>
              <w:rPr>
                <w:szCs w:val="20"/>
              </w:rPr>
            </w:pPr>
            <w:r w:rsidRPr="00862452">
              <w:rPr>
                <w:szCs w:val="20"/>
              </w:rPr>
              <w:t>0</w:t>
            </w:r>
          </w:p>
        </w:tc>
        <w:tc>
          <w:tcPr>
            <w:tcW w:w="512" w:type="dxa"/>
          </w:tcPr>
          <w:p w:rsidR="00862452" w:rsidRPr="00862452" w:rsidRDefault="00862452" w:rsidP="008D0D95">
            <w:pPr>
              <w:widowControl w:val="0"/>
              <w:autoSpaceDE w:val="0"/>
              <w:autoSpaceDN w:val="0"/>
              <w:adjustRightInd w:val="0"/>
              <w:rPr>
                <w:szCs w:val="20"/>
              </w:rPr>
            </w:pPr>
            <w:r w:rsidRPr="00862452">
              <w:rPr>
                <w:szCs w:val="20"/>
              </w:rPr>
              <w:t>0</w:t>
            </w:r>
          </w:p>
        </w:tc>
        <w:tc>
          <w:tcPr>
            <w:tcW w:w="512" w:type="dxa"/>
          </w:tcPr>
          <w:p w:rsidR="00862452" w:rsidRPr="00862452" w:rsidRDefault="00862452" w:rsidP="008D0D95">
            <w:pPr>
              <w:widowControl w:val="0"/>
              <w:autoSpaceDE w:val="0"/>
              <w:autoSpaceDN w:val="0"/>
              <w:adjustRightInd w:val="0"/>
              <w:rPr>
                <w:szCs w:val="20"/>
              </w:rPr>
            </w:pPr>
            <w:r w:rsidRPr="00862452">
              <w:rPr>
                <w:szCs w:val="20"/>
              </w:rPr>
              <w:t>0</w:t>
            </w:r>
          </w:p>
        </w:tc>
        <w:tc>
          <w:tcPr>
            <w:tcW w:w="512" w:type="dxa"/>
          </w:tcPr>
          <w:p w:rsidR="00862452" w:rsidRPr="00862452" w:rsidRDefault="00862452" w:rsidP="008D0D95">
            <w:pPr>
              <w:widowControl w:val="0"/>
              <w:autoSpaceDE w:val="0"/>
              <w:autoSpaceDN w:val="0"/>
              <w:adjustRightInd w:val="0"/>
              <w:rPr>
                <w:szCs w:val="20"/>
              </w:rPr>
            </w:pPr>
            <w:r w:rsidRPr="00862452">
              <w:rPr>
                <w:szCs w:val="20"/>
              </w:rPr>
              <w:t>0</w:t>
            </w:r>
          </w:p>
        </w:tc>
        <w:tc>
          <w:tcPr>
            <w:tcW w:w="502" w:type="dxa"/>
          </w:tcPr>
          <w:p w:rsidR="00862452" w:rsidRPr="00862452" w:rsidRDefault="00862452" w:rsidP="008D0D95">
            <w:pPr>
              <w:widowControl w:val="0"/>
              <w:autoSpaceDE w:val="0"/>
              <w:autoSpaceDN w:val="0"/>
              <w:adjustRightInd w:val="0"/>
              <w:rPr>
                <w:szCs w:val="20"/>
              </w:rPr>
            </w:pPr>
            <w:r w:rsidRPr="00862452">
              <w:rPr>
                <w:szCs w:val="20"/>
              </w:rPr>
              <w:t>0</w:t>
            </w:r>
          </w:p>
        </w:tc>
      </w:tr>
      <w:tr w:rsidR="00862452">
        <w:tc>
          <w:tcPr>
            <w:tcW w:w="2628" w:type="dxa"/>
          </w:tcPr>
          <w:p w:rsidR="00862452" w:rsidRDefault="00862452" w:rsidP="008D0D95">
            <w:pPr>
              <w:widowControl w:val="0"/>
              <w:autoSpaceDE w:val="0"/>
              <w:autoSpaceDN w:val="0"/>
              <w:adjustRightInd w:val="0"/>
              <w:rPr>
                <w:b/>
                <w:szCs w:val="20"/>
              </w:rPr>
            </w:pPr>
            <w:r>
              <w:rPr>
                <w:b/>
                <w:szCs w:val="20"/>
              </w:rPr>
              <w:t>MIPS Payment Adjustment (+/-)</w:t>
            </w:r>
          </w:p>
        </w:tc>
        <w:tc>
          <w:tcPr>
            <w:tcW w:w="568" w:type="dxa"/>
          </w:tcPr>
          <w:p w:rsidR="00862452" w:rsidRPr="00862452" w:rsidRDefault="00862452" w:rsidP="008D0D95">
            <w:pPr>
              <w:widowControl w:val="0"/>
              <w:autoSpaceDE w:val="0"/>
              <w:autoSpaceDN w:val="0"/>
              <w:adjustRightInd w:val="0"/>
              <w:rPr>
                <w:szCs w:val="20"/>
              </w:rPr>
            </w:pPr>
          </w:p>
        </w:tc>
        <w:tc>
          <w:tcPr>
            <w:tcW w:w="540" w:type="dxa"/>
          </w:tcPr>
          <w:p w:rsidR="00862452" w:rsidRPr="00862452" w:rsidRDefault="00862452" w:rsidP="008D0D95">
            <w:pPr>
              <w:widowControl w:val="0"/>
              <w:autoSpaceDE w:val="0"/>
              <w:autoSpaceDN w:val="0"/>
              <w:adjustRightInd w:val="0"/>
              <w:rPr>
                <w:szCs w:val="20"/>
              </w:rPr>
            </w:pPr>
          </w:p>
        </w:tc>
        <w:tc>
          <w:tcPr>
            <w:tcW w:w="540" w:type="dxa"/>
          </w:tcPr>
          <w:p w:rsidR="00862452" w:rsidRPr="00862452" w:rsidRDefault="00862452" w:rsidP="008D0D95">
            <w:pPr>
              <w:widowControl w:val="0"/>
              <w:autoSpaceDE w:val="0"/>
              <w:autoSpaceDN w:val="0"/>
              <w:adjustRightInd w:val="0"/>
              <w:rPr>
                <w:szCs w:val="20"/>
              </w:rPr>
            </w:pPr>
          </w:p>
        </w:tc>
        <w:tc>
          <w:tcPr>
            <w:tcW w:w="540" w:type="dxa"/>
          </w:tcPr>
          <w:p w:rsidR="00862452" w:rsidRPr="00862452" w:rsidRDefault="00862452" w:rsidP="008D0D95">
            <w:pPr>
              <w:widowControl w:val="0"/>
              <w:autoSpaceDE w:val="0"/>
              <w:autoSpaceDN w:val="0"/>
              <w:adjustRightInd w:val="0"/>
              <w:rPr>
                <w:szCs w:val="20"/>
              </w:rPr>
            </w:pPr>
            <w:r w:rsidRPr="00862452">
              <w:rPr>
                <w:szCs w:val="20"/>
              </w:rPr>
              <w:t>4%</w:t>
            </w:r>
          </w:p>
        </w:tc>
        <w:tc>
          <w:tcPr>
            <w:tcW w:w="536" w:type="dxa"/>
          </w:tcPr>
          <w:p w:rsidR="00862452" w:rsidRPr="00862452" w:rsidRDefault="00862452" w:rsidP="008D0D95">
            <w:pPr>
              <w:widowControl w:val="0"/>
              <w:autoSpaceDE w:val="0"/>
              <w:autoSpaceDN w:val="0"/>
              <w:adjustRightInd w:val="0"/>
              <w:rPr>
                <w:szCs w:val="20"/>
              </w:rPr>
            </w:pPr>
            <w:r w:rsidRPr="00862452">
              <w:rPr>
                <w:szCs w:val="20"/>
              </w:rPr>
              <w:t>5%</w:t>
            </w:r>
          </w:p>
        </w:tc>
        <w:tc>
          <w:tcPr>
            <w:tcW w:w="576" w:type="dxa"/>
          </w:tcPr>
          <w:p w:rsidR="00862452" w:rsidRPr="00862452" w:rsidRDefault="00862452" w:rsidP="008D0D95">
            <w:pPr>
              <w:widowControl w:val="0"/>
              <w:autoSpaceDE w:val="0"/>
              <w:autoSpaceDN w:val="0"/>
              <w:adjustRightInd w:val="0"/>
              <w:rPr>
                <w:szCs w:val="20"/>
              </w:rPr>
            </w:pPr>
            <w:r w:rsidRPr="00862452">
              <w:rPr>
                <w:szCs w:val="20"/>
              </w:rPr>
              <w:t>6%</w:t>
            </w:r>
          </w:p>
        </w:tc>
        <w:tc>
          <w:tcPr>
            <w:tcW w:w="2038" w:type="dxa"/>
            <w:gridSpan w:val="4"/>
          </w:tcPr>
          <w:p w:rsidR="00862452" w:rsidRPr="00862452" w:rsidRDefault="00862452" w:rsidP="00862452">
            <w:pPr>
              <w:widowControl w:val="0"/>
              <w:autoSpaceDE w:val="0"/>
              <w:autoSpaceDN w:val="0"/>
              <w:adjustRightInd w:val="0"/>
              <w:ind w:left="295" w:hanging="295"/>
              <w:rPr>
                <w:szCs w:val="20"/>
              </w:rPr>
            </w:pPr>
            <w:r w:rsidRPr="00862452">
              <w:rPr>
                <w:szCs w:val="20"/>
              </w:rPr>
              <w:t>9%</w:t>
            </w:r>
          </w:p>
        </w:tc>
      </w:tr>
      <w:tr w:rsidR="00862452">
        <w:tc>
          <w:tcPr>
            <w:tcW w:w="2628" w:type="dxa"/>
          </w:tcPr>
          <w:p w:rsidR="00862452" w:rsidRDefault="00862452" w:rsidP="008D0D95">
            <w:pPr>
              <w:widowControl w:val="0"/>
              <w:autoSpaceDE w:val="0"/>
              <w:autoSpaceDN w:val="0"/>
              <w:adjustRightInd w:val="0"/>
              <w:rPr>
                <w:b/>
                <w:szCs w:val="20"/>
              </w:rPr>
            </w:pPr>
            <w:r>
              <w:rPr>
                <w:b/>
                <w:szCs w:val="20"/>
              </w:rPr>
              <w:t>Advance</w:t>
            </w:r>
            <w:r w:rsidR="00127618">
              <w:rPr>
                <w:b/>
                <w:szCs w:val="20"/>
              </w:rPr>
              <w:t>d</w:t>
            </w:r>
            <w:r>
              <w:rPr>
                <w:b/>
                <w:szCs w:val="20"/>
              </w:rPr>
              <w:t xml:space="preserve"> APM Participant</w:t>
            </w:r>
          </w:p>
        </w:tc>
        <w:tc>
          <w:tcPr>
            <w:tcW w:w="568" w:type="dxa"/>
          </w:tcPr>
          <w:p w:rsidR="00862452" w:rsidRPr="00862452" w:rsidRDefault="00862452" w:rsidP="008D0D95">
            <w:pPr>
              <w:widowControl w:val="0"/>
              <w:autoSpaceDE w:val="0"/>
              <w:autoSpaceDN w:val="0"/>
              <w:adjustRightInd w:val="0"/>
              <w:rPr>
                <w:szCs w:val="20"/>
              </w:rPr>
            </w:pPr>
          </w:p>
        </w:tc>
        <w:tc>
          <w:tcPr>
            <w:tcW w:w="540" w:type="dxa"/>
          </w:tcPr>
          <w:p w:rsidR="00862452" w:rsidRPr="00862452" w:rsidRDefault="00862452" w:rsidP="008D0D95">
            <w:pPr>
              <w:widowControl w:val="0"/>
              <w:autoSpaceDE w:val="0"/>
              <w:autoSpaceDN w:val="0"/>
              <w:adjustRightInd w:val="0"/>
              <w:rPr>
                <w:szCs w:val="20"/>
              </w:rPr>
            </w:pPr>
          </w:p>
        </w:tc>
        <w:tc>
          <w:tcPr>
            <w:tcW w:w="540" w:type="dxa"/>
          </w:tcPr>
          <w:p w:rsidR="00862452" w:rsidRPr="00862452" w:rsidRDefault="00862452" w:rsidP="008D0D95">
            <w:pPr>
              <w:widowControl w:val="0"/>
              <w:autoSpaceDE w:val="0"/>
              <w:autoSpaceDN w:val="0"/>
              <w:adjustRightInd w:val="0"/>
              <w:rPr>
                <w:szCs w:val="20"/>
              </w:rPr>
            </w:pPr>
          </w:p>
        </w:tc>
        <w:tc>
          <w:tcPr>
            <w:tcW w:w="3690" w:type="dxa"/>
            <w:gridSpan w:val="7"/>
          </w:tcPr>
          <w:p w:rsidR="00862452" w:rsidRPr="00862452" w:rsidRDefault="00862452" w:rsidP="008D0D95">
            <w:pPr>
              <w:widowControl w:val="0"/>
              <w:autoSpaceDE w:val="0"/>
              <w:autoSpaceDN w:val="0"/>
              <w:adjustRightInd w:val="0"/>
              <w:rPr>
                <w:szCs w:val="20"/>
              </w:rPr>
            </w:pPr>
            <w:r w:rsidRPr="00862452">
              <w:rPr>
                <w:szCs w:val="20"/>
              </w:rPr>
              <w:t>5%</w:t>
            </w:r>
          </w:p>
          <w:p w:rsidR="00862452" w:rsidRPr="00862452" w:rsidRDefault="00862452" w:rsidP="008D0D95">
            <w:pPr>
              <w:widowControl w:val="0"/>
              <w:autoSpaceDE w:val="0"/>
              <w:autoSpaceDN w:val="0"/>
              <w:adjustRightInd w:val="0"/>
              <w:rPr>
                <w:szCs w:val="20"/>
              </w:rPr>
            </w:pPr>
            <w:r w:rsidRPr="00862452">
              <w:rPr>
                <w:szCs w:val="20"/>
              </w:rPr>
              <w:t>Excluded from MIPS</w:t>
            </w:r>
          </w:p>
        </w:tc>
      </w:tr>
    </w:tbl>
    <w:p w:rsidR="00127618" w:rsidRDefault="00127618" w:rsidP="00862452">
      <w:pPr>
        <w:widowControl w:val="0"/>
        <w:autoSpaceDE w:val="0"/>
        <w:autoSpaceDN w:val="0"/>
        <w:adjustRightInd w:val="0"/>
        <w:rPr>
          <w:b/>
          <w:szCs w:val="20"/>
        </w:rPr>
      </w:pPr>
    </w:p>
    <w:p w:rsidR="00862452" w:rsidRDefault="00862452" w:rsidP="00862452">
      <w:pPr>
        <w:widowControl w:val="0"/>
        <w:autoSpaceDE w:val="0"/>
        <w:autoSpaceDN w:val="0"/>
        <w:adjustRightInd w:val="0"/>
        <w:rPr>
          <w:b/>
          <w:szCs w:val="20"/>
        </w:rPr>
      </w:pPr>
    </w:p>
    <w:p w:rsidR="00127618" w:rsidRDefault="006232E7" w:rsidP="00582E49">
      <w:pPr>
        <w:widowControl w:val="0"/>
        <w:autoSpaceDE w:val="0"/>
        <w:autoSpaceDN w:val="0"/>
        <w:adjustRightInd w:val="0"/>
        <w:rPr>
          <w:b/>
          <w:szCs w:val="19"/>
        </w:rPr>
      </w:pPr>
      <w:r w:rsidRPr="006232E7">
        <w:rPr>
          <w:b/>
        </w:rPr>
        <w:t>Composition of</w:t>
      </w:r>
      <w:r>
        <w:t xml:space="preserve"> </w:t>
      </w:r>
      <w:r w:rsidRPr="00582E49">
        <w:rPr>
          <w:b/>
          <w:szCs w:val="19"/>
        </w:rPr>
        <w:t>Performance Categories</w:t>
      </w:r>
      <w:r>
        <w:rPr>
          <w:b/>
          <w:szCs w:val="19"/>
        </w:rPr>
        <w:t xml:space="preserve"> Scores</w:t>
      </w:r>
    </w:p>
    <w:p w:rsidR="006232E7" w:rsidRDefault="006232E7" w:rsidP="00582E49">
      <w:pPr>
        <w:widowControl w:val="0"/>
        <w:autoSpaceDE w:val="0"/>
        <w:autoSpaceDN w:val="0"/>
        <w:adjustRightInd w:val="0"/>
        <w:rPr>
          <w:b/>
          <w:szCs w:val="19"/>
        </w:rPr>
      </w:pPr>
    </w:p>
    <w:tbl>
      <w:tblPr>
        <w:tblStyle w:val="TableGrid"/>
        <w:tblW w:w="0" w:type="auto"/>
        <w:tblLayout w:type="fixed"/>
        <w:tblLook w:val="00BF"/>
      </w:tblPr>
      <w:tblGrid>
        <w:gridCol w:w="4248"/>
        <w:gridCol w:w="810"/>
        <w:gridCol w:w="810"/>
        <w:gridCol w:w="576"/>
        <w:gridCol w:w="512"/>
        <w:gridCol w:w="512"/>
        <w:gridCol w:w="512"/>
        <w:gridCol w:w="502"/>
      </w:tblGrid>
      <w:tr w:rsidR="006232E7">
        <w:trPr>
          <w:cantSplit/>
          <w:trHeight w:val="818"/>
        </w:trPr>
        <w:tc>
          <w:tcPr>
            <w:tcW w:w="4248" w:type="dxa"/>
          </w:tcPr>
          <w:p w:rsidR="006232E7" w:rsidRDefault="006232E7" w:rsidP="008D0D95">
            <w:pPr>
              <w:widowControl w:val="0"/>
              <w:autoSpaceDE w:val="0"/>
              <w:autoSpaceDN w:val="0"/>
              <w:adjustRightInd w:val="0"/>
              <w:rPr>
                <w:b/>
                <w:szCs w:val="20"/>
              </w:rPr>
            </w:pPr>
          </w:p>
        </w:tc>
        <w:tc>
          <w:tcPr>
            <w:tcW w:w="810" w:type="dxa"/>
            <w:textDirection w:val="btLr"/>
          </w:tcPr>
          <w:p w:rsidR="006232E7" w:rsidRDefault="006232E7" w:rsidP="00862452">
            <w:pPr>
              <w:widowControl w:val="0"/>
              <w:autoSpaceDE w:val="0"/>
              <w:autoSpaceDN w:val="0"/>
              <w:adjustRightInd w:val="0"/>
              <w:ind w:left="113" w:right="113"/>
              <w:rPr>
                <w:b/>
                <w:szCs w:val="20"/>
              </w:rPr>
            </w:pPr>
            <w:r>
              <w:rPr>
                <w:b/>
                <w:szCs w:val="20"/>
              </w:rPr>
              <w:t>2019</w:t>
            </w:r>
          </w:p>
        </w:tc>
        <w:tc>
          <w:tcPr>
            <w:tcW w:w="810" w:type="dxa"/>
            <w:textDirection w:val="btLr"/>
          </w:tcPr>
          <w:p w:rsidR="006232E7" w:rsidRDefault="006232E7" w:rsidP="00862452">
            <w:pPr>
              <w:widowControl w:val="0"/>
              <w:autoSpaceDE w:val="0"/>
              <w:autoSpaceDN w:val="0"/>
              <w:adjustRightInd w:val="0"/>
              <w:ind w:left="113" w:right="113"/>
              <w:rPr>
                <w:b/>
                <w:szCs w:val="20"/>
              </w:rPr>
            </w:pPr>
            <w:r>
              <w:rPr>
                <w:b/>
                <w:szCs w:val="20"/>
              </w:rPr>
              <w:t>2020</w:t>
            </w:r>
          </w:p>
        </w:tc>
        <w:tc>
          <w:tcPr>
            <w:tcW w:w="576" w:type="dxa"/>
            <w:textDirection w:val="btLr"/>
          </w:tcPr>
          <w:p w:rsidR="006232E7" w:rsidRDefault="006232E7" w:rsidP="00862452">
            <w:pPr>
              <w:widowControl w:val="0"/>
              <w:autoSpaceDE w:val="0"/>
              <w:autoSpaceDN w:val="0"/>
              <w:adjustRightInd w:val="0"/>
              <w:ind w:left="113" w:right="113"/>
              <w:rPr>
                <w:b/>
                <w:szCs w:val="20"/>
              </w:rPr>
            </w:pPr>
            <w:r>
              <w:rPr>
                <w:b/>
                <w:szCs w:val="20"/>
              </w:rPr>
              <w:t>2021</w:t>
            </w:r>
          </w:p>
        </w:tc>
        <w:tc>
          <w:tcPr>
            <w:tcW w:w="512" w:type="dxa"/>
            <w:textDirection w:val="btLr"/>
          </w:tcPr>
          <w:p w:rsidR="006232E7" w:rsidRDefault="006232E7" w:rsidP="00862452">
            <w:pPr>
              <w:widowControl w:val="0"/>
              <w:autoSpaceDE w:val="0"/>
              <w:autoSpaceDN w:val="0"/>
              <w:adjustRightInd w:val="0"/>
              <w:ind w:left="113" w:right="113"/>
              <w:rPr>
                <w:b/>
                <w:szCs w:val="20"/>
              </w:rPr>
            </w:pPr>
            <w:r>
              <w:rPr>
                <w:b/>
                <w:szCs w:val="20"/>
              </w:rPr>
              <w:t>2022</w:t>
            </w:r>
          </w:p>
        </w:tc>
        <w:tc>
          <w:tcPr>
            <w:tcW w:w="512" w:type="dxa"/>
            <w:textDirection w:val="btLr"/>
          </w:tcPr>
          <w:p w:rsidR="006232E7" w:rsidRDefault="006232E7" w:rsidP="00862452">
            <w:pPr>
              <w:widowControl w:val="0"/>
              <w:autoSpaceDE w:val="0"/>
              <w:autoSpaceDN w:val="0"/>
              <w:adjustRightInd w:val="0"/>
              <w:ind w:left="113" w:right="113"/>
              <w:rPr>
                <w:b/>
                <w:szCs w:val="20"/>
              </w:rPr>
            </w:pPr>
            <w:r>
              <w:rPr>
                <w:b/>
                <w:szCs w:val="20"/>
              </w:rPr>
              <w:t>2023</w:t>
            </w:r>
          </w:p>
        </w:tc>
        <w:tc>
          <w:tcPr>
            <w:tcW w:w="512" w:type="dxa"/>
            <w:textDirection w:val="btLr"/>
          </w:tcPr>
          <w:p w:rsidR="006232E7" w:rsidRDefault="006232E7" w:rsidP="00862452">
            <w:pPr>
              <w:widowControl w:val="0"/>
              <w:autoSpaceDE w:val="0"/>
              <w:autoSpaceDN w:val="0"/>
              <w:adjustRightInd w:val="0"/>
              <w:ind w:left="113" w:right="113"/>
              <w:rPr>
                <w:b/>
                <w:szCs w:val="20"/>
              </w:rPr>
            </w:pPr>
            <w:r>
              <w:rPr>
                <w:b/>
                <w:szCs w:val="20"/>
              </w:rPr>
              <w:t>2024</w:t>
            </w:r>
          </w:p>
        </w:tc>
        <w:tc>
          <w:tcPr>
            <w:tcW w:w="502" w:type="dxa"/>
            <w:textDirection w:val="btLr"/>
          </w:tcPr>
          <w:p w:rsidR="006232E7" w:rsidRDefault="006232E7" w:rsidP="00862452">
            <w:pPr>
              <w:widowControl w:val="0"/>
              <w:autoSpaceDE w:val="0"/>
              <w:autoSpaceDN w:val="0"/>
              <w:adjustRightInd w:val="0"/>
              <w:ind w:left="113" w:right="113"/>
              <w:rPr>
                <w:b/>
                <w:szCs w:val="20"/>
              </w:rPr>
            </w:pPr>
            <w:r>
              <w:rPr>
                <w:b/>
                <w:szCs w:val="20"/>
              </w:rPr>
              <w:t>2025</w:t>
            </w:r>
          </w:p>
        </w:tc>
      </w:tr>
      <w:tr w:rsidR="006232E7">
        <w:trPr>
          <w:cantSplit/>
          <w:trHeight w:val="494"/>
        </w:trPr>
        <w:tc>
          <w:tcPr>
            <w:tcW w:w="4248" w:type="dxa"/>
          </w:tcPr>
          <w:p w:rsidR="006232E7" w:rsidRDefault="006232E7" w:rsidP="008D0D95">
            <w:pPr>
              <w:widowControl w:val="0"/>
              <w:autoSpaceDE w:val="0"/>
              <w:autoSpaceDN w:val="0"/>
              <w:adjustRightInd w:val="0"/>
              <w:rPr>
                <w:b/>
                <w:szCs w:val="20"/>
              </w:rPr>
            </w:pPr>
            <w:r>
              <w:rPr>
                <w:b/>
                <w:szCs w:val="20"/>
              </w:rPr>
              <w:t>Quality</w:t>
            </w:r>
          </w:p>
        </w:tc>
        <w:tc>
          <w:tcPr>
            <w:tcW w:w="810" w:type="dxa"/>
          </w:tcPr>
          <w:p w:rsidR="006232E7" w:rsidRPr="006232E7" w:rsidRDefault="006232E7" w:rsidP="006232E7">
            <w:pPr>
              <w:widowControl w:val="0"/>
              <w:autoSpaceDE w:val="0"/>
              <w:autoSpaceDN w:val="0"/>
              <w:adjustRightInd w:val="0"/>
              <w:rPr>
                <w:szCs w:val="20"/>
              </w:rPr>
            </w:pPr>
            <w:r w:rsidRPr="006232E7">
              <w:rPr>
                <w:szCs w:val="20"/>
              </w:rPr>
              <w:t>50%</w:t>
            </w:r>
          </w:p>
        </w:tc>
        <w:tc>
          <w:tcPr>
            <w:tcW w:w="810" w:type="dxa"/>
          </w:tcPr>
          <w:p w:rsidR="006232E7" w:rsidRPr="006232E7" w:rsidRDefault="006232E7" w:rsidP="006232E7">
            <w:pPr>
              <w:widowControl w:val="0"/>
              <w:autoSpaceDE w:val="0"/>
              <w:autoSpaceDN w:val="0"/>
              <w:adjustRightInd w:val="0"/>
              <w:rPr>
                <w:szCs w:val="20"/>
              </w:rPr>
            </w:pPr>
            <w:r>
              <w:rPr>
                <w:szCs w:val="20"/>
              </w:rPr>
              <w:t>45%</w:t>
            </w:r>
          </w:p>
        </w:tc>
        <w:tc>
          <w:tcPr>
            <w:tcW w:w="2614" w:type="dxa"/>
            <w:gridSpan w:val="5"/>
          </w:tcPr>
          <w:p w:rsidR="006232E7" w:rsidRPr="006232E7" w:rsidRDefault="006232E7" w:rsidP="006232E7">
            <w:pPr>
              <w:widowControl w:val="0"/>
              <w:autoSpaceDE w:val="0"/>
              <w:autoSpaceDN w:val="0"/>
              <w:adjustRightInd w:val="0"/>
              <w:rPr>
                <w:szCs w:val="20"/>
              </w:rPr>
            </w:pPr>
            <w:r>
              <w:rPr>
                <w:szCs w:val="20"/>
              </w:rPr>
              <w:t>30%</w:t>
            </w:r>
          </w:p>
        </w:tc>
      </w:tr>
      <w:tr w:rsidR="006232E7">
        <w:trPr>
          <w:cantSplit/>
          <w:trHeight w:val="530"/>
        </w:trPr>
        <w:tc>
          <w:tcPr>
            <w:tcW w:w="4248" w:type="dxa"/>
          </w:tcPr>
          <w:p w:rsidR="006232E7" w:rsidRDefault="006232E7" w:rsidP="008D0D95">
            <w:pPr>
              <w:widowControl w:val="0"/>
              <w:autoSpaceDE w:val="0"/>
              <w:autoSpaceDN w:val="0"/>
              <w:adjustRightInd w:val="0"/>
              <w:rPr>
                <w:b/>
                <w:szCs w:val="20"/>
              </w:rPr>
            </w:pPr>
            <w:r>
              <w:rPr>
                <w:b/>
                <w:szCs w:val="20"/>
              </w:rPr>
              <w:t>Resource Use</w:t>
            </w:r>
          </w:p>
        </w:tc>
        <w:tc>
          <w:tcPr>
            <w:tcW w:w="810" w:type="dxa"/>
          </w:tcPr>
          <w:p w:rsidR="006232E7" w:rsidRPr="006232E7" w:rsidRDefault="006232E7" w:rsidP="006232E7">
            <w:pPr>
              <w:widowControl w:val="0"/>
              <w:autoSpaceDE w:val="0"/>
              <w:autoSpaceDN w:val="0"/>
              <w:adjustRightInd w:val="0"/>
              <w:rPr>
                <w:szCs w:val="20"/>
              </w:rPr>
            </w:pPr>
            <w:r>
              <w:rPr>
                <w:szCs w:val="20"/>
              </w:rPr>
              <w:t>10%</w:t>
            </w:r>
          </w:p>
        </w:tc>
        <w:tc>
          <w:tcPr>
            <w:tcW w:w="810" w:type="dxa"/>
          </w:tcPr>
          <w:p w:rsidR="006232E7" w:rsidRDefault="006232E7" w:rsidP="006232E7">
            <w:pPr>
              <w:widowControl w:val="0"/>
              <w:autoSpaceDE w:val="0"/>
              <w:autoSpaceDN w:val="0"/>
              <w:adjustRightInd w:val="0"/>
              <w:rPr>
                <w:szCs w:val="20"/>
              </w:rPr>
            </w:pPr>
            <w:r>
              <w:rPr>
                <w:szCs w:val="20"/>
              </w:rPr>
              <w:t>15%</w:t>
            </w:r>
          </w:p>
        </w:tc>
        <w:tc>
          <w:tcPr>
            <w:tcW w:w="2614" w:type="dxa"/>
            <w:gridSpan w:val="5"/>
          </w:tcPr>
          <w:p w:rsidR="006232E7" w:rsidRDefault="006232E7" w:rsidP="006232E7">
            <w:pPr>
              <w:widowControl w:val="0"/>
              <w:autoSpaceDE w:val="0"/>
              <w:autoSpaceDN w:val="0"/>
              <w:adjustRightInd w:val="0"/>
              <w:rPr>
                <w:szCs w:val="20"/>
              </w:rPr>
            </w:pPr>
            <w:r>
              <w:rPr>
                <w:szCs w:val="20"/>
              </w:rPr>
              <w:t>30%</w:t>
            </w:r>
          </w:p>
        </w:tc>
      </w:tr>
      <w:tr w:rsidR="00254B10">
        <w:trPr>
          <w:cantSplit/>
          <w:trHeight w:val="611"/>
        </w:trPr>
        <w:tc>
          <w:tcPr>
            <w:tcW w:w="4248" w:type="dxa"/>
          </w:tcPr>
          <w:p w:rsidR="00254B10" w:rsidRDefault="00254B10" w:rsidP="008D0D95">
            <w:pPr>
              <w:widowControl w:val="0"/>
              <w:autoSpaceDE w:val="0"/>
              <w:autoSpaceDN w:val="0"/>
              <w:adjustRightInd w:val="0"/>
              <w:rPr>
                <w:b/>
                <w:szCs w:val="20"/>
              </w:rPr>
            </w:pPr>
            <w:r>
              <w:rPr>
                <w:b/>
                <w:szCs w:val="20"/>
              </w:rPr>
              <w:t xml:space="preserve">Clinical Practice Improvement </w:t>
            </w:r>
          </w:p>
          <w:p w:rsidR="00254B10" w:rsidRDefault="00254B10" w:rsidP="008D0D95">
            <w:pPr>
              <w:widowControl w:val="0"/>
              <w:autoSpaceDE w:val="0"/>
              <w:autoSpaceDN w:val="0"/>
              <w:adjustRightInd w:val="0"/>
              <w:rPr>
                <w:b/>
                <w:szCs w:val="20"/>
              </w:rPr>
            </w:pPr>
            <w:r>
              <w:rPr>
                <w:b/>
                <w:szCs w:val="20"/>
              </w:rPr>
              <w:t xml:space="preserve">Activities </w:t>
            </w:r>
          </w:p>
        </w:tc>
        <w:tc>
          <w:tcPr>
            <w:tcW w:w="4234" w:type="dxa"/>
            <w:gridSpan w:val="7"/>
          </w:tcPr>
          <w:p w:rsidR="00254B10" w:rsidRDefault="00254B10" w:rsidP="006232E7">
            <w:pPr>
              <w:widowControl w:val="0"/>
              <w:autoSpaceDE w:val="0"/>
              <w:autoSpaceDN w:val="0"/>
              <w:adjustRightInd w:val="0"/>
              <w:rPr>
                <w:szCs w:val="20"/>
              </w:rPr>
            </w:pPr>
            <w:r>
              <w:rPr>
                <w:szCs w:val="20"/>
              </w:rPr>
              <w:t>15%</w:t>
            </w:r>
          </w:p>
        </w:tc>
      </w:tr>
      <w:tr w:rsidR="00254B10">
        <w:trPr>
          <w:cantSplit/>
          <w:trHeight w:val="449"/>
        </w:trPr>
        <w:tc>
          <w:tcPr>
            <w:tcW w:w="4248" w:type="dxa"/>
          </w:tcPr>
          <w:p w:rsidR="00254B10" w:rsidRDefault="00254B10" w:rsidP="008D0D95">
            <w:pPr>
              <w:widowControl w:val="0"/>
              <w:autoSpaceDE w:val="0"/>
              <w:autoSpaceDN w:val="0"/>
              <w:adjustRightInd w:val="0"/>
              <w:rPr>
                <w:b/>
                <w:szCs w:val="20"/>
              </w:rPr>
            </w:pPr>
            <w:r>
              <w:rPr>
                <w:b/>
                <w:szCs w:val="20"/>
              </w:rPr>
              <w:t>Advancing Care Information</w:t>
            </w:r>
          </w:p>
        </w:tc>
        <w:tc>
          <w:tcPr>
            <w:tcW w:w="4234" w:type="dxa"/>
            <w:gridSpan w:val="7"/>
          </w:tcPr>
          <w:p w:rsidR="00254B10" w:rsidRDefault="00254B10" w:rsidP="006232E7">
            <w:pPr>
              <w:widowControl w:val="0"/>
              <w:autoSpaceDE w:val="0"/>
              <w:autoSpaceDN w:val="0"/>
              <w:adjustRightInd w:val="0"/>
              <w:rPr>
                <w:szCs w:val="20"/>
              </w:rPr>
            </w:pPr>
            <w:r>
              <w:rPr>
                <w:szCs w:val="20"/>
              </w:rPr>
              <w:t>25%</w:t>
            </w:r>
          </w:p>
        </w:tc>
      </w:tr>
    </w:tbl>
    <w:p w:rsidR="00127618" w:rsidRDefault="00127618" w:rsidP="00B354C6">
      <w:pPr>
        <w:rPr>
          <w:szCs w:val="19"/>
        </w:rPr>
      </w:pPr>
    </w:p>
    <w:p w:rsidR="00B354C6" w:rsidRDefault="00B354C6" w:rsidP="00B354C6">
      <w:pPr>
        <w:rPr>
          <w:szCs w:val="19"/>
        </w:rPr>
      </w:pPr>
    </w:p>
    <w:p w:rsidR="00127618" w:rsidRDefault="00B354C6" w:rsidP="00B354C6">
      <w:pPr>
        <w:rPr>
          <w:b/>
          <w:szCs w:val="19"/>
        </w:rPr>
      </w:pPr>
      <w:r w:rsidRPr="007D099A">
        <w:rPr>
          <w:b/>
          <w:szCs w:val="19"/>
        </w:rPr>
        <w:t>Participation Levels Required in Advanced AP</w:t>
      </w:r>
      <w:r w:rsidR="007D099A" w:rsidRPr="007D099A">
        <w:rPr>
          <w:b/>
          <w:szCs w:val="19"/>
        </w:rPr>
        <w:t>M</w:t>
      </w:r>
      <w:r w:rsidRPr="007D099A">
        <w:rPr>
          <w:b/>
          <w:szCs w:val="19"/>
        </w:rPr>
        <w:t xml:space="preserve"> to Receive Incentive Payment Increase</w:t>
      </w:r>
    </w:p>
    <w:p w:rsidR="00B354C6" w:rsidRPr="007D099A" w:rsidRDefault="00B354C6" w:rsidP="00B354C6">
      <w:pPr>
        <w:rPr>
          <w:b/>
          <w:szCs w:val="19"/>
        </w:rPr>
      </w:pPr>
    </w:p>
    <w:tbl>
      <w:tblPr>
        <w:tblStyle w:val="TableGrid"/>
        <w:tblW w:w="0" w:type="auto"/>
        <w:tblLayout w:type="fixed"/>
        <w:tblLook w:val="00BF"/>
      </w:tblPr>
      <w:tblGrid>
        <w:gridCol w:w="4068"/>
        <w:gridCol w:w="720"/>
        <w:gridCol w:w="720"/>
        <w:gridCol w:w="720"/>
        <w:gridCol w:w="810"/>
        <w:gridCol w:w="720"/>
        <w:gridCol w:w="720"/>
      </w:tblGrid>
      <w:tr w:rsidR="00B354C6">
        <w:trPr>
          <w:cantSplit/>
          <w:trHeight w:val="881"/>
        </w:trPr>
        <w:tc>
          <w:tcPr>
            <w:tcW w:w="4068" w:type="dxa"/>
          </w:tcPr>
          <w:p w:rsidR="00B354C6" w:rsidRDefault="00B354C6" w:rsidP="008D0D95">
            <w:pPr>
              <w:widowControl w:val="0"/>
              <w:autoSpaceDE w:val="0"/>
              <w:autoSpaceDN w:val="0"/>
              <w:adjustRightInd w:val="0"/>
              <w:rPr>
                <w:b/>
                <w:szCs w:val="20"/>
              </w:rPr>
            </w:pPr>
          </w:p>
        </w:tc>
        <w:tc>
          <w:tcPr>
            <w:tcW w:w="720" w:type="dxa"/>
            <w:textDirection w:val="btLr"/>
          </w:tcPr>
          <w:p w:rsidR="00B354C6" w:rsidRDefault="00B354C6" w:rsidP="00862452">
            <w:pPr>
              <w:widowControl w:val="0"/>
              <w:autoSpaceDE w:val="0"/>
              <w:autoSpaceDN w:val="0"/>
              <w:adjustRightInd w:val="0"/>
              <w:ind w:left="113" w:right="113"/>
              <w:rPr>
                <w:b/>
                <w:szCs w:val="20"/>
              </w:rPr>
            </w:pPr>
            <w:r>
              <w:rPr>
                <w:b/>
                <w:szCs w:val="20"/>
              </w:rPr>
              <w:t>2019</w:t>
            </w:r>
          </w:p>
        </w:tc>
        <w:tc>
          <w:tcPr>
            <w:tcW w:w="720" w:type="dxa"/>
            <w:textDirection w:val="btLr"/>
          </w:tcPr>
          <w:p w:rsidR="00B354C6" w:rsidRDefault="00B354C6" w:rsidP="00862452">
            <w:pPr>
              <w:widowControl w:val="0"/>
              <w:autoSpaceDE w:val="0"/>
              <w:autoSpaceDN w:val="0"/>
              <w:adjustRightInd w:val="0"/>
              <w:ind w:left="113" w:right="113"/>
              <w:rPr>
                <w:b/>
                <w:szCs w:val="20"/>
              </w:rPr>
            </w:pPr>
            <w:r>
              <w:rPr>
                <w:b/>
                <w:szCs w:val="20"/>
              </w:rPr>
              <w:t>2020</w:t>
            </w:r>
          </w:p>
        </w:tc>
        <w:tc>
          <w:tcPr>
            <w:tcW w:w="720" w:type="dxa"/>
            <w:textDirection w:val="btLr"/>
          </w:tcPr>
          <w:p w:rsidR="00B354C6" w:rsidRDefault="00B354C6" w:rsidP="00862452">
            <w:pPr>
              <w:widowControl w:val="0"/>
              <w:autoSpaceDE w:val="0"/>
              <w:autoSpaceDN w:val="0"/>
              <w:adjustRightInd w:val="0"/>
              <w:ind w:left="113" w:right="113"/>
              <w:rPr>
                <w:b/>
                <w:szCs w:val="20"/>
              </w:rPr>
            </w:pPr>
            <w:r>
              <w:rPr>
                <w:b/>
                <w:szCs w:val="20"/>
              </w:rPr>
              <w:t>2021</w:t>
            </w:r>
          </w:p>
        </w:tc>
        <w:tc>
          <w:tcPr>
            <w:tcW w:w="810" w:type="dxa"/>
            <w:textDirection w:val="btLr"/>
          </w:tcPr>
          <w:p w:rsidR="00B354C6" w:rsidRDefault="00B354C6" w:rsidP="00862452">
            <w:pPr>
              <w:widowControl w:val="0"/>
              <w:autoSpaceDE w:val="0"/>
              <w:autoSpaceDN w:val="0"/>
              <w:adjustRightInd w:val="0"/>
              <w:ind w:left="113" w:right="113"/>
              <w:rPr>
                <w:b/>
                <w:szCs w:val="20"/>
              </w:rPr>
            </w:pPr>
            <w:r>
              <w:rPr>
                <w:b/>
                <w:szCs w:val="20"/>
              </w:rPr>
              <w:t>2022</w:t>
            </w:r>
          </w:p>
        </w:tc>
        <w:tc>
          <w:tcPr>
            <w:tcW w:w="720" w:type="dxa"/>
            <w:textDirection w:val="btLr"/>
          </w:tcPr>
          <w:p w:rsidR="00B354C6" w:rsidRDefault="00B354C6" w:rsidP="00862452">
            <w:pPr>
              <w:widowControl w:val="0"/>
              <w:autoSpaceDE w:val="0"/>
              <w:autoSpaceDN w:val="0"/>
              <w:adjustRightInd w:val="0"/>
              <w:ind w:left="113" w:right="113"/>
              <w:rPr>
                <w:b/>
                <w:szCs w:val="20"/>
              </w:rPr>
            </w:pPr>
            <w:r>
              <w:rPr>
                <w:b/>
                <w:szCs w:val="20"/>
              </w:rPr>
              <w:t>2023</w:t>
            </w:r>
          </w:p>
        </w:tc>
        <w:tc>
          <w:tcPr>
            <w:tcW w:w="720" w:type="dxa"/>
            <w:textDirection w:val="btLr"/>
          </w:tcPr>
          <w:p w:rsidR="00B354C6" w:rsidRDefault="00B354C6" w:rsidP="00862452">
            <w:pPr>
              <w:widowControl w:val="0"/>
              <w:autoSpaceDE w:val="0"/>
              <w:autoSpaceDN w:val="0"/>
              <w:adjustRightInd w:val="0"/>
              <w:ind w:left="113" w:right="113"/>
              <w:rPr>
                <w:b/>
                <w:szCs w:val="20"/>
              </w:rPr>
            </w:pPr>
            <w:r>
              <w:rPr>
                <w:b/>
                <w:szCs w:val="20"/>
              </w:rPr>
              <w:t>2024+</w:t>
            </w:r>
          </w:p>
        </w:tc>
      </w:tr>
      <w:tr w:rsidR="00B354C6">
        <w:trPr>
          <w:cantSplit/>
          <w:trHeight w:val="764"/>
        </w:trPr>
        <w:tc>
          <w:tcPr>
            <w:tcW w:w="4068" w:type="dxa"/>
          </w:tcPr>
          <w:p w:rsidR="00B354C6" w:rsidRDefault="00B354C6" w:rsidP="008D0D95">
            <w:pPr>
              <w:widowControl w:val="0"/>
              <w:autoSpaceDE w:val="0"/>
              <w:autoSpaceDN w:val="0"/>
              <w:adjustRightInd w:val="0"/>
              <w:rPr>
                <w:b/>
                <w:szCs w:val="20"/>
              </w:rPr>
            </w:pPr>
            <w:r>
              <w:rPr>
                <w:b/>
                <w:szCs w:val="20"/>
              </w:rPr>
              <w:t>% of Payments through an advanced APM</w:t>
            </w:r>
          </w:p>
        </w:tc>
        <w:tc>
          <w:tcPr>
            <w:tcW w:w="720" w:type="dxa"/>
          </w:tcPr>
          <w:p w:rsidR="00B354C6" w:rsidRPr="00B354C6" w:rsidRDefault="00B354C6" w:rsidP="00B354C6">
            <w:pPr>
              <w:widowControl w:val="0"/>
              <w:autoSpaceDE w:val="0"/>
              <w:autoSpaceDN w:val="0"/>
              <w:adjustRightInd w:val="0"/>
              <w:rPr>
                <w:szCs w:val="20"/>
              </w:rPr>
            </w:pPr>
            <w:r w:rsidRPr="00B354C6">
              <w:rPr>
                <w:szCs w:val="20"/>
              </w:rPr>
              <w:t>25%</w:t>
            </w:r>
          </w:p>
        </w:tc>
        <w:tc>
          <w:tcPr>
            <w:tcW w:w="720" w:type="dxa"/>
          </w:tcPr>
          <w:p w:rsidR="00B354C6" w:rsidRPr="00B354C6" w:rsidRDefault="00B354C6" w:rsidP="00B354C6">
            <w:pPr>
              <w:widowControl w:val="0"/>
              <w:autoSpaceDE w:val="0"/>
              <w:autoSpaceDN w:val="0"/>
              <w:adjustRightInd w:val="0"/>
              <w:rPr>
                <w:szCs w:val="20"/>
              </w:rPr>
            </w:pPr>
            <w:r w:rsidRPr="00B354C6">
              <w:rPr>
                <w:szCs w:val="20"/>
              </w:rPr>
              <w:t>25%</w:t>
            </w:r>
          </w:p>
        </w:tc>
        <w:tc>
          <w:tcPr>
            <w:tcW w:w="720" w:type="dxa"/>
          </w:tcPr>
          <w:p w:rsidR="00B354C6" w:rsidRPr="00B354C6" w:rsidRDefault="00B354C6" w:rsidP="00B354C6">
            <w:pPr>
              <w:widowControl w:val="0"/>
              <w:autoSpaceDE w:val="0"/>
              <w:autoSpaceDN w:val="0"/>
              <w:adjustRightInd w:val="0"/>
              <w:rPr>
                <w:szCs w:val="20"/>
              </w:rPr>
            </w:pPr>
            <w:r w:rsidRPr="00B354C6">
              <w:rPr>
                <w:szCs w:val="20"/>
              </w:rPr>
              <w:t>50%</w:t>
            </w:r>
          </w:p>
        </w:tc>
        <w:tc>
          <w:tcPr>
            <w:tcW w:w="810" w:type="dxa"/>
          </w:tcPr>
          <w:p w:rsidR="00B354C6" w:rsidRPr="00B354C6" w:rsidRDefault="00B354C6" w:rsidP="00B354C6">
            <w:pPr>
              <w:widowControl w:val="0"/>
              <w:autoSpaceDE w:val="0"/>
              <w:autoSpaceDN w:val="0"/>
              <w:adjustRightInd w:val="0"/>
              <w:rPr>
                <w:szCs w:val="20"/>
              </w:rPr>
            </w:pPr>
            <w:r w:rsidRPr="00B354C6">
              <w:rPr>
                <w:szCs w:val="20"/>
              </w:rPr>
              <w:t>50%</w:t>
            </w:r>
          </w:p>
        </w:tc>
        <w:tc>
          <w:tcPr>
            <w:tcW w:w="720" w:type="dxa"/>
          </w:tcPr>
          <w:p w:rsidR="00B354C6" w:rsidRPr="00B354C6" w:rsidRDefault="00B354C6" w:rsidP="00B354C6">
            <w:pPr>
              <w:widowControl w:val="0"/>
              <w:autoSpaceDE w:val="0"/>
              <w:autoSpaceDN w:val="0"/>
              <w:adjustRightInd w:val="0"/>
              <w:rPr>
                <w:szCs w:val="20"/>
              </w:rPr>
            </w:pPr>
            <w:r w:rsidRPr="00B354C6">
              <w:rPr>
                <w:szCs w:val="20"/>
              </w:rPr>
              <w:t>75%</w:t>
            </w:r>
          </w:p>
        </w:tc>
        <w:tc>
          <w:tcPr>
            <w:tcW w:w="720" w:type="dxa"/>
          </w:tcPr>
          <w:p w:rsidR="00B354C6" w:rsidRPr="00B354C6" w:rsidRDefault="00B354C6" w:rsidP="00B354C6">
            <w:pPr>
              <w:widowControl w:val="0"/>
              <w:autoSpaceDE w:val="0"/>
              <w:autoSpaceDN w:val="0"/>
              <w:adjustRightInd w:val="0"/>
              <w:rPr>
                <w:szCs w:val="20"/>
              </w:rPr>
            </w:pPr>
            <w:r w:rsidRPr="00B354C6">
              <w:rPr>
                <w:szCs w:val="20"/>
              </w:rPr>
              <w:t>75%</w:t>
            </w:r>
          </w:p>
        </w:tc>
      </w:tr>
      <w:tr w:rsidR="00B354C6">
        <w:trPr>
          <w:cantSplit/>
          <w:trHeight w:val="710"/>
        </w:trPr>
        <w:tc>
          <w:tcPr>
            <w:tcW w:w="4068" w:type="dxa"/>
          </w:tcPr>
          <w:p w:rsidR="00B354C6" w:rsidRDefault="00B354C6" w:rsidP="008D0D95">
            <w:pPr>
              <w:widowControl w:val="0"/>
              <w:autoSpaceDE w:val="0"/>
              <w:autoSpaceDN w:val="0"/>
              <w:adjustRightInd w:val="0"/>
              <w:rPr>
                <w:b/>
                <w:szCs w:val="20"/>
              </w:rPr>
            </w:pPr>
            <w:r>
              <w:rPr>
                <w:b/>
                <w:szCs w:val="20"/>
              </w:rPr>
              <w:t xml:space="preserve">% of Patients </w:t>
            </w:r>
          </w:p>
          <w:p w:rsidR="00B354C6" w:rsidRDefault="00B354C6" w:rsidP="008D0D95">
            <w:pPr>
              <w:widowControl w:val="0"/>
              <w:autoSpaceDE w:val="0"/>
              <w:autoSpaceDN w:val="0"/>
              <w:adjustRightInd w:val="0"/>
              <w:rPr>
                <w:b/>
                <w:szCs w:val="20"/>
              </w:rPr>
            </w:pPr>
            <w:r>
              <w:rPr>
                <w:b/>
                <w:szCs w:val="20"/>
              </w:rPr>
              <w:t>through an advanced APM</w:t>
            </w:r>
          </w:p>
        </w:tc>
        <w:tc>
          <w:tcPr>
            <w:tcW w:w="720" w:type="dxa"/>
          </w:tcPr>
          <w:p w:rsidR="00B354C6" w:rsidRPr="00B354C6" w:rsidRDefault="00B354C6" w:rsidP="00B354C6">
            <w:pPr>
              <w:widowControl w:val="0"/>
              <w:autoSpaceDE w:val="0"/>
              <w:autoSpaceDN w:val="0"/>
              <w:adjustRightInd w:val="0"/>
              <w:rPr>
                <w:szCs w:val="20"/>
              </w:rPr>
            </w:pPr>
            <w:r>
              <w:rPr>
                <w:szCs w:val="20"/>
              </w:rPr>
              <w:t>20%</w:t>
            </w:r>
          </w:p>
        </w:tc>
        <w:tc>
          <w:tcPr>
            <w:tcW w:w="720" w:type="dxa"/>
          </w:tcPr>
          <w:p w:rsidR="00B354C6" w:rsidRPr="00B354C6" w:rsidRDefault="00B354C6" w:rsidP="00B354C6">
            <w:pPr>
              <w:widowControl w:val="0"/>
              <w:autoSpaceDE w:val="0"/>
              <w:autoSpaceDN w:val="0"/>
              <w:adjustRightInd w:val="0"/>
              <w:rPr>
                <w:szCs w:val="20"/>
              </w:rPr>
            </w:pPr>
            <w:r>
              <w:rPr>
                <w:szCs w:val="20"/>
              </w:rPr>
              <w:t>20%</w:t>
            </w:r>
          </w:p>
        </w:tc>
        <w:tc>
          <w:tcPr>
            <w:tcW w:w="720" w:type="dxa"/>
          </w:tcPr>
          <w:p w:rsidR="00B354C6" w:rsidRPr="00B354C6" w:rsidRDefault="00B354C6" w:rsidP="00B354C6">
            <w:pPr>
              <w:widowControl w:val="0"/>
              <w:autoSpaceDE w:val="0"/>
              <w:autoSpaceDN w:val="0"/>
              <w:adjustRightInd w:val="0"/>
              <w:rPr>
                <w:szCs w:val="20"/>
              </w:rPr>
            </w:pPr>
            <w:r>
              <w:rPr>
                <w:szCs w:val="20"/>
              </w:rPr>
              <w:t>35%</w:t>
            </w:r>
          </w:p>
        </w:tc>
        <w:tc>
          <w:tcPr>
            <w:tcW w:w="810" w:type="dxa"/>
          </w:tcPr>
          <w:p w:rsidR="00B354C6" w:rsidRPr="00B354C6" w:rsidRDefault="00B354C6" w:rsidP="00B354C6">
            <w:pPr>
              <w:widowControl w:val="0"/>
              <w:autoSpaceDE w:val="0"/>
              <w:autoSpaceDN w:val="0"/>
              <w:adjustRightInd w:val="0"/>
              <w:rPr>
                <w:szCs w:val="20"/>
              </w:rPr>
            </w:pPr>
            <w:r>
              <w:rPr>
                <w:szCs w:val="20"/>
              </w:rPr>
              <w:t>35%</w:t>
            </w:r>
          </w:p>
        </w:tc>
        <w:tc>
          <w:tcPr>
            <w:tcW w:w="720" w:type="dxa"/>
          </w:tcPr>
          <w:p w:rsidR="00B354C6" w:rsidRPr="00B354C6" w:rsidRDefault="00B354C6" w:rsidP="00B354C6">
            <w:pPr>
              <w:widowControl w:val="0"/>
              <w:autoSpaceDE w:val="0"/>
              <w:autoSpaceDN w:val="0"/>
              <w:adjustRightInd w:val="0"/>
              <w:rPr>
                <w:szCs w:val="20"/>
              </w:rPr>
            </w:pPr>
            <w:r>
              <w:rPr>
                <w:szCs w:val="20"/>
              </w:rPr>
              <w:t>50%</w:t>
            </w:r>
          </w:p>
        </w:tc>
        <w:tc>
          <w:tcPr>
            <w:tcW w:w="720" w:type="dxa"/>
          </w:tcPr>
          <w:p w:rsidR="00B354C6" w:rsidRPr="00B354C6" w:rsidRDefault="00B354C6" w:rsidP="00B354C6">
            <w:pPr>
              <w:widowControl w:val="0"/>
              <w:autoSpaceDE w:val="0"/>
              <w:autoSpaceDN w:val="0"/>
              <w:adjustRightInd w:val="0"/>
              <w:rPr>
                <w:szCs w:val="20"/>
              </w:rPr>
            </w:pPr>
            <w:r>
              <w:rPr>
                <w:szCs w:val="20"/>
              </w:rPr>
              <w:t>50%</w:t>
            </w:r>
          </w:p>
        </w:tc>
      </w:tr>
    </w:tbl>
    <w:p w:rsidR="00B354C6" w:rsidRPr="00582E49" w:rsidRDefault="00B354C6" w:rsidP="00B354C6">
      <w:r>
        <w:rPr>
          <w:szCs w:val="19"/>
        </w:rPr>
        <w:tab/>
      </w:r>
    </w:p>
    <w:p w:rsidR="00254BD3" w:rsidRPr="00582E49" w:rsidRDefault="00254BD3" w:rsidP="00B354C6">
      <w:pPr>
        <w:widowControl w:val="0"/>
        <w:autoSpaceDE w:val="0"/>
        <w:autoSpaceDN w:val="0"/>
        <w:adjustRightInd w:val="0"/>
      </w:pPr>
    </w:p>
    <w:sectPr w:rsidR="00254BD3" w:rsidRPr="00582E49" w:rsidSect="00127618">
      <w:headerReference w:type="default" r:id="rId10"/>
      <w:type w:val="continuous"/>
      <w:pgSz w:w="12240" w:h="15840"/>
      <w:pgMar w:top="1440" w:right="1224" w:bottom="1440" w:left="136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mericanTypewriter-Bold">
    <w:altName w:val="American Typewriter"/>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C6" w:rsidRDefault="00B354C6" w:rsidP="00582E49">
    <w:pPr>
      <w:widowControl w:val="0"/>
      <w:autoSpaceDE w:val="0"/>
      <w:autoSpaceDN w:val="0"/>
      <w:adjustRightInd w:val="0"/>
      <w:jc w:val="center"/>
      <w:rPr>
        <w:rFonts w:ascii="AmericanTypewriter-Bold" w:hAnsi="AmericanTypewriter-Bold" w:cs="AmericanTypewriter-Bold"/>
        <w:b/>
        <w:bCs/>
        <w:sz w:val="16"/>
        <w:szCs w:val="16"/>
      </w:rPr>
    </w:pPr>
  </w:p>
  <w:p w:rsidR="00B354C6" w:rsidRDefault="00B354C6" w:rsidP="00582E49">
    <w:pPr>
      <w:widowControl w:val="0"/>
      <w:autoSpaceDE w:val="0"/>
      <w:autoSpaceDN w:val="0"/>
      <w:adjustRightInd w:val="0"/>
      <w:jc w:val="center"/>
      <w:rPr>
        <w:rFonts w:ascii="AmericanTypewriter-Bold" w:hAnsi="AmericanTypewriter-Bold" w:cs="AmericanTypewriter-Bold"/>
        <w:b/>
        <w:bCs/>
        <w:sz w:val="16"/>
        <w:szCs w:val="16"/>
      </w:rPr>
    </w:pPr>
    <w:r>
      <w:rPr>
        <w:rFonts w:ascii="AmericanTypewriter-Bold" w:hAnsi="AmericanTypewriter-Bold" w:cs="AmericanTypewriter-Bold"/>
        <w:b/>
        <w:bCs/>
        <w:sz w:val="16"/>
        <w:szCs w:val="16"/>
      </w:rPr>
      <w:t>S i m o n &amp; C o . , L L C</w:t>
    </w:r>
  </w:p>
  <w:p w:rsidR="00B354C6" w:rsidRDefault="00B354C6" w:rsidP="00582E49">
    <w:pPr>
      <w:widowControl w:val="0"/>
      <w:autoSpaceDE w:val="0"/>
      <w:autoSpaceDN w:val="0"/>
      <w:adjustRightInd w:val="0"/>
      <w:jc w:val="center"/>
      <w:rPr>
        <w:rFonts w:ascii="AmericanTypewriter-Bold" w:hAnsi="AmericanTypewriter-Bold" w:cs="AmericanTypewriter-Bold"/>
        <w:sz w:val="16"/>
        <w:szCs w:val="16"/>
      </w:rPr>
    </w:pPr>
    <w:r>
      <w:rPr>
        <w:rFonts w:ascii="AmericanTypewriter-Bold" w:hAnsi="AmericanTypewriter-Bold" w:cs="AmericanTypewriter-Bold"/>
        <w:sz w:val="16"/>
        <w:szCs w:val="16"/>
      </w:rPr>
      <w:t>1331 G Street, NW, Suite 910, Washington DC  20005</w:t>
    </w:r>
  </w:p>
  <w:p w:rsidR="00B354C6" w:rsidRDefault="00B354C6" w:rsidP="00582E49">
    <w:pPr>
      <w:pStyle w:val="Footer"/>
      <w:jc w:val="center"/>
      <w:rPr>
        <w:rFonts w:ascii="AmericanTypewriter-Bold" w:hAnsi="AmericanTypewriter-Bold" w:cs="AmericanTypewriter-Bold"/>
        <w:sz w:val="16"/>
        <w:szCs w:val="16"/>
      </w:rPr>
    </w:pPr>
    <w:r>
      <w:rPr>
        <w:rFonts w:ascii="AmericanTypewriter-Bold" w:hAnsi="AmericanTypewriter-Bold" w:cs="AmericanTypewriter-Bold"/>
        <w:sz w:val="16"/>
        <w:szCs w:val="16"/>
      </w:rPr>
      <w:t xml:space="preserve">(202) 204-4707 </w:t>
    </w:r>
  </w:p>
  <w:p w:rsidR="00B354C6" w:rsidRDefault="00B354C6" w:rsidP="00582E49">
    <w:pPr>
      <w:pStyle w:val="Footer"/>
      <w:jc w:val="center"/>
    </w:pPr>
    <w:r>
      <w:rPr>
        <w:rFonts w:ascii="AmericanTypewriter-Bold" w:hAnsi="AmericanTypewriter-Bold" w:cs="AmericanTypewriter-Bold"/>
        <w:sz w:val="16"/>
        <w:szCs w:val="16"/>
      </w:rPr>
      <w:t>www.mjsimonandcompany.com</w:t>
    </w:r>
  </w:p>
  <w:p w:rsidR="00B354C6" w:rsidRDefault="00B354C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354C6" w:rsidRDefault="00B354C6">
      <w:pPr>
        <w:pStyle w:val="FootnoteText"/>
      </w:pPr>
      <w:r>
        <w:rPr>
          <w:rStyle w:val="FootnoteReference"/>
        </w:rPr>
        <w:footnoteRef/>
      </w:r>
      <w:r>
        <w:t xml:space="preserve"> </w:t>
      </w:r>
      <w:r>
        <w:rPr>
          <w:rFonts w:ascii="Times New Roman" w:hAnsi="Times New Roman" w:cs="Times New Roman"/>
        </w:rPr>
        <w:t xml:space="preserve">RIN 0938-AS69; </w:t>
      </w:r>
      <w:hyperlink r:id="rId1" w:anchor="!documentDetail;D=CMS-2016-0060-0068" w:history="1">
        <w:r w:rsidRPr="008C0A77">
          <w:rPr>
            <w:rStyle w:val="Hyperlink"/>
            <w:rFonts w:ascii="Times New Roman" w:hAnsi="Times New Roman" w:cs="Times New Roman"/>
          </w:rPr>
          <w:t>https://www.regulations.gov/#!documentDetail;D=CMS-2016-0060-0068</w:t>
        </w:r>
      </w:hyperlink>
      <w:r>
        <w:rPr>
          <w:rFonts w:ascii="Times New Roman" w:hAnsi="Times New Roman" w:cs="Times New Roman"/>
        </w:rPr>
        <w:t xml:space="preserve">; May 9, 2016. </w:t>
      </w:r>
    </w:p>
  </w:footnote>
  <w:footnote w:id="0">
    <w:p w:rsidR="00B354C6" w:rsidRPr="006232E7" w:rsidRDefault="00B354C6" w:rsidP="006232E7">
      <w:pPr>
        <w:widowControl w:val="0"/>
        <w:autoSpaceDE w:val="0"/>
        <w:autoSpaceDN w:val="0"/>
        <w:adjustRightInd w:val="0"/>
        <w:rPr>
          <w:szCs w:val="20"/>
        </w:rPr>
      </w:pPr>
      <w:r>
        <w:rPr>
          <w:rStyle w:val="FootnoteReference"/>
        </w:rPr>
        <w:footnoteRef/>
      </w:r>
      <w:r>
        <w:t xml:space="preserve"> I</w:t>
      </w:r>
      <w:r w:rsidRPr="004331DA">
        <w:t>n the first year, depending on the variation of MIPS scores, adjustments are calculated so that negative</w:t>
      </w:r>
      <w:r>
        <w:t>/positive</w:t>
      </w:r>
      <w:r w:rsidRPr="004331DA">
        <w:t xml:space="preserve"> adjustments</w:t>
      </w:r>
      <w:r>
        <w:t xml:space="preserve"> can be no more than 4 percent. They increase to +/- 5 percent in 2020, +/-7 percent in 2021 and +/- 9 percent for 2022 and after.  See </w:t>
      </w:r>
      <w:r w:rsidRPr="006232E7">
        <w:t>“</w:t>
      </w:r>
      <w:r w:rsidRPr="006232E7">
        <w:rPr>
          <w:szCs w:val="20"/>
        </w:rPr>
        <w:t xml:space="preserve">MIPS/APM Payment Timeline” </w:t>
      </w:r>
      <w:r w:rsidR="007D099A">
        <w:rPr>
          <w:szCs w:val="19"/>
        </w:rPr>
        <w:t xml:space="preserve">in Appendix: </w:t>
      </w:r>
      <w:r w:rsidR="007D099A" w:rsidRPr="007D099A">
        <w:rPr>
          <w:szCs w:val="19"/>
        </w:rPr>
        <w:t>Timelines</w:t>
      </w:r>
      <w:r w:rsidRPr="006232E7">
        <w:rPr>
          <w:szCs w:val="20"/>
        </w:rPr>
        <w:t xml:space="preserve">. </w:t>
      </w:r>
    </w:p>
  </w:footnote>
  <w:footnote w:id="1">
    <w:p w:rsidR="00B354C6" w:rsidRPr="006232E7" w:rsidRDefault="00B354C6" w:rsidP="006232E7">
      <w:pPr>
        <w:widowControl w:val="0"/>
        <w:autoSpaceDE w:val="0"/>
        <w:autoSpaceDN w:val="0"/>
        <w:adjustRightInd w:val="0"/>
        <w:rPr>
          <w:szCs w:val="20"/>
        </w:rPr>
      </w:pPr>
      <w:r>
        <w:rPr>
          <w:rStyle w:val="FootnoteReference"/>
        </w:rPr>
        <w:footnoteRef/>
      </w:r>
      <w:r>
        <w:t xml:space="preserve"> T</w:t>
      </w:r>
      <w:r w:rsidRPr="00EE62C3">
        <w:t>his performance category will account for 50 percent of the total MIPS score in year 1 (payment year 2019); 45 percent in year 2, and 30 percent for the third and future years.</w:t>
      </w:r>
      <w:r>
        <w:t xml:space="preserve"> See </w:t>
      </w:r>
      <w:r w:rsidRPr="006232E7">
        <w:t>“</w:t>
      </w:r>
      <w:r w:rsidRPr="006232E7">
        <w:rPr>
          <w:szCs w:val="20"/>
        </w:rPr>
        <w:t xml:space="preserve">MIPS/APM Payment Timeline” </w:t>
      </w:r>
      <w:r w:rsidR="007D099A">
        <w:rPr>
          <w:szCs w:val="19"/>
        </w:rPr>
        <w:t xml:space="preserve">in Appendix: </w:t>
      </w:r>
      <w:r w:rsidR="007D099A" w:rsidRPr="007D099A">
        <w:rPr>
          <w:szCs w:val="19"/>
        </w:rPr>
        <w:t>Timelines</w:t>
      </w:r>
      <w:r w:rsidRPr="006232E7">
        <w:rPr>
          <w:szCs w:val="20"/>
        </w:rPr>
        <w:t xml:space="preserve">. </w:t>
      </w:r>
    </w:p>
  </w:footnote>
  <w:footnote w:id="2">
    <w:p w:rsidR="00B354C6" w:rsidRDefault="00B354C6" w:rsidP="006232E7">
      <w:pPr>
        <w:widowControl w:val="0"/>
        <w:autoSpaceDE w:val="0"/>
        <w:autoSpaceDN w:val="0"/>
        <w:adjustRightInd w:val="0"/>
      </w:pPr>
      <w:r>
        <w:rPr>
          <w:rStyle w:val="FootnoteReference"/>
        </w:rPr>
        <w:footnoteRef/>
      </w:r>
      <w:r>
        <w:t xml:space="preserve"> T</w:t>
      </w:r>
      <w:r w:rsidRPr="0008745B">
        <w:t>he resource use performance category shall make up no more than ten percent of the CPS for the first MIPS payment year (CY 2019) and not more than 15 percent of the CPS for the second MIPS payment year (CY 2020). Beginning with the third MIPS payment year and for each MIPS payment year thereafter, the resource use performance category would make up 30 percent of the CPS</w:t>
      </w:r>
      <w:r>
        <w:t xml:space="preserve">.  See </w:t>
      </w:r>
      <w:r w:rsidRPr="006232E7">
        <w:t xml:space="preserve">“Composition of </w:t>
      </w:r>
      <w:r w:rsidRPr="006232E7">
        <w:rPr>
          <w:szCs w:val="19"/>
        </w:rPr>
        <w:t xml:space="preserve">Performance Categories Scores” </w:t>
      </w:r>
      <w:r w:rsidR="007D099A">
        <w:rPr>
          <w:szCs w:val="19"/>
        </w:rPr>
        <w:t xml:space="preserve">in Appendix: </w:t>
      </w:r>
      <w:r w:rsidR="007D099A" w:rsidRPr="007D099A">
        <w:rPr>
          <w:szCs w:val="19"/>
        </w:rPr>
        <w:t>Timelines</w:t>
      </w:r>
      <w:r w:rsidRPr="006232E7">
        <w:rPr>
          <w:szCs w:val="19"/>
        </w:rPr>
        <w:t>.</w:t>
      </w:r>
      <w:r>
        <w:rPr>
          <w:b/>
          <w:szCs w:val="19"/>
        </w:rPr>
        <w:t xml:space="preserve"> </w:t>
      </w:r>
    </w:p>
  </w:footnote>
  <w:footnote w:id="3">
    <w:p w:rsidR="00B354C6" w:rsidRDefault="00B354C6" w:rsidP="007D099A">
      <w:pPr>
        <w:widowControl w:val="0"/>
        <w:autoSpaceDE w:val="0"/>
        <w:autoSpaceDN w:val="0"/>
        <w:adjustRightInd w:val="0"/>
      </w:pPr>
      <w:r>
        <w:rPr>
          <w:rStyle w:val="FootnoteReference"/>
        </w:rPr>
        <w:footnoteRef/>
      </w:r>
      <w:r>
        <w:t xml:space="preserve"> </w:t>
      </w:r>
      <w:r w:rsidRPr="0008745B">
        <w:t xml:space="preserve">The CPIA category accounts for 15 percent of the MIPS score in year one of the program, and clinicians would receive credit for participating in APMs and </w:t>
      </w:r>
      <w:r>
        <w:t>Primary Care Medical Homes (</w:t>
      </w:r>
      <w:r w:rsidRPr="0008745B">
        <w:t>PCMHs</w:t>
      </w:r>
      <w:r>
        <w:t>)</w:t>
      </w:r>
      <w:r w:rsidRPr="0008745B">
        <w:t>. CMS proposes to determine a clinician’s score by weighting activities on which they report; highly - weighted activities would be worth 20 points and lesser activities worth 10 points</w:t>
      </w:r>
      <w:r>
        <w:t xml:space="preserve"> </w:t>
      </w:r>
      <w:r w:rsidRPr="0008745B">
        <w:t>– with 60 points b</w:t>
      </w:r>
      <w:r>
        <w:t>eing the maximum total awarded</w:t>
      </w:r>
      <w:r w:rsidRPr="0008745B">
        <w:t>. Highly weighted activities would be those activities supporting PCMHs, clinical practice transformation, and/or a public health priority.</w:t>
      </w:r>
      <w:r>
        <w:t xml:space="preserve"> See </w:t>
      </w:r>
      <w:r w:rsidRPr="006232E7">
        <w:t xml:space="preserve">“Composition of </w:t>
      </w:r>
      <w:r w:rsidRPr="006232E7">
        <w:rPr>
          <w:szCs w:val="19"/>
        </w:rPr>
        <w:t xml:space="preserve">Performance Categories Scores” </w:t>
      </w:r>
      <w:r w:rsidR="007D099A">
        <w:rPr>
          <w:szCs w:val="19"/>
        </w:rPr>
        <w:t xml:space="preserve">in Appendix: </w:t>
      </w:r>
      <w:r w:rsidR="007D099A" w:rsidRPr="007D099A">
        <w:rPr>
          <w:szCs w:val="19"/>
        </w:rPr>
        <w:t>Timelines</w:t>
      </w:r>
      <w:r w:rsidRPr="006232E7">
        <w:rPr>
          <w:szCs w:val="19"/>
        </w:rPr>
        <w:t>.</w:t>
      </w:r>
      <w:r>
        <w:rPr>
          <w:b/>
          <w:szCs w:val="19"/>
        </w:rPr>
        <w:t xml:space="preserve"> </w:t>
      </w:r>
    </w:p>
  </w:footnote>
  <w:footnote w:id="4">
    <w:p w:rsidR="00B354C6" w:rsidRDefault="00B354C6" w:rsidP="00852031">
      <w:pPr>
        <w:spacing w:beforeLines="1" w:afterLines="1"/>
      </w:pPr>
      <w:r>
        <w:rPr>
          <w:rStyle w:val="FootnoteReference"/>
        </w:rPr>
        <w:footnoteRef/>
      </w:r>
      <w:r>
        <w:t xml:space="preserve"> </w:t>
      </w:r>
      <w:r w:rsidRPr="009F7E18">
        <w:t xml:space="preserve">The percent that EHR contributes to the total scare may decrease as use of EHR increases.   </w:t>
      </w:r>
    </w:p>
  </w:footnote>
  <w:footnote w:id="5">
    <w:p w:rsidR="00B354C6" w:rsidRDefault="00B354C6" w:rsidP="002C4098">
      <w:pPr>
        <w:widowControl w:val="0"/>
        <w:autoSpaceDE w:val="0"/>
        <w:autoSpaceDN w:val="0"/>
        <w:adjustRightInd w:val="0"/>
      </w:pPr>
      <w:r>
        <w:rPr>
          <w:rStyle w:val="FootnoteReference"/>
        </w:rPr>
        <w:footnoteRef/>
      </w:r>
      <w:r>
        <w:t xml:space="preserve"> A CMS-approved entity that has self nominated and successfully completed a qualification process to determine whether the entity may collect medical and/or clinical data for the purpose of patient and disease tracking to foster improvement in the quality of care provided to patients.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C6" w:rsidRPr="00582E49" w:rsidRDefault="00B354C6" w:rsidP="00582E49">
    <w:pPr>
      <w:rPr>
        <w:rFonts w:ascii="American Typewriter" w:hAnsi="American Typewriter"/>
        <w:sz w:val="22"/>
      </w:rPr>
    </w:pPr>
    <w:r w:rsidRPr="00582E49">
      <w:rPr>
        <w:rFonts w:ascii="American Typewriter" w:hAnsi="American Typewriter"/>
        <w:sz w:val="22"/>
      </w:rPr>
      <w:t>Simon&amp;Co.</w:t>
    </w:r>
  </w:p>
  <w:p w:rsidR="00B354C6" w:rsidRPr="00582E49" w:rsidRDefault="00B354C6" w:rsidP="00582E49">
    <w:pPr>
      <w:rPr>
        <w:rFonts w:ascii="American Typewriter" w:hAnsi="American Typewriter"/>
        <w:sz w:val="22"/>
      </w:rPr>
    </w:pPr>
    <w:r w:rsidRPr="00582E49">
      <w:rPr>
        <w:rFonts w:ascii="American Typewriter" w:hAnsi="American Typewriter"/>
        <w:sz w:val="22"/>
      </w:rPr>
      <w:t>Summary CMS MIPS and APM Proposed Rule</w:t>
    </w:r>
  </w:p>
  <w:p w:rsidR="00B354C6" w:rsidRDefault="00B354C6" w:rsidP="00582E49">
    <w:pPr>
      <w:rPr>
        <w:rStyle w:val="PageNumber"/>
      </w:rPr>
    </w:pPr>
    <w:r w:rsidRPr="00582E49">
      <w:rPr>
        <w:rFonts w:ascii="American Typewriter" w:hAnsi="American Typewriter"/>
        <w:sz w:val="22"/>
      </w:rPr>
      <w:t xml:space="preserve">Page </w:t>
    </w:r>
    <w:r w:rsidR="005B74DC" w:rsidRPr="00582E49">
      <w:rPr>
        <w:rStyle w:val="PageNumber"/>
        <w:rFonts w:ascii="American Typewriter" w:hAnsi="American Typewriter"/>
        <w:sz w:val="22"/>
      </w:rPr>
      <w:fldChar w:fldCharType="begin"/>
    </w:r>
    <w:r w:rsidRPr="00582E49">
      <w:rPr>
        <w:rStyle w:val="PageNumber"/>
        <w:rFonts w:ascii="American Typewriter" w:hAnsi="American Typewriter"/>
        <w:sz w:val="22"/>
      </w:rPr>
      <w:instrText xml:space="preserve"> PAGE </w:instrText>
    </w:r>
    <w:r w:rsidR="005B74DC" w:rsidRPr="00582E49">
      <w:rPr>
        <w:rStyle w:val="PageNumber"/>
        <w:rFonts w:ascii="American Typewriter" w:hAnsi="American Typewriter"/>
        <w:sz w:val="22"/>
      </w:rPr>
      <w:fldChar w:fldCharType="separate"/>
    </w:r>
    <w:r w:rsidR="00B728AE">
      <w:rPr>
        <w:rStyle w:val="PageNumber"/>
        <w:rFonts w:ascii="American Typewriter" w:hAnsi="American Typewriter"/>
        <w:noProof/>
        <w:sz w:val="22"/>
      </w:rPr>
      <w:t>4</w:t>
    </w:r>
    <w:r w:rsidR="005B74DC" w:rsidRPr="00582E49">
      <w:rPr>
        <w:rStyle w:val="PageNumber"/>
        <w:rFonts w:ascii="American Typewriter" w:hAnsi="American Typewriter"/>
        <w:sz w:val="22"/>
      </w:rPr>
      <w:fldChar w:fldCharType="end"/>
    </w:r>
  </w:p>
  <w:p w:rsidR="00B354C6" w:rsidRPr="00582E49" w:rsidRDefault="005B74DC" w:rsidP="00582E49">
    <w:pPr>
      <w:rPr>
        <w:rFonts w:ascii="American Typewriter" w:hAnsi="American Typewriter"/>
        <w:sz w:val="22"/>
      </w:rPr>
    </w:pPr>
    <w:r w:rsidRPr="005B74DC">
      <w:rPr>
        <w:rFonts w:ascii="American Typewriter" w:hAnsi="American Typewrite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05pt;height:1.55pt" o:hrpct="0" o:hralign="center" o:hr="t">
          <v:imagedata r:id="rId1" o:title="Default Line"/>
        </v:shape>
      </w:pict>
    </w:r>
  </w:p>
  <w:p w:rsidR="00B354C6" w:rsidRPr="00582E49" w:rsidRDefault="00B354C6" w:rsidP="00582E49">
    <w:pPr>
      <w:rPr>
        <w:rFonts w:ascii="American Typewriter" w:hAnsi="American Typewriter"/>
        <w:sz w:val="2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C6" w:rsidRDefault="00B354C6">
    <w:pPr>
      <w:pStyle w:val="Header"/>
    </w:pPr>
    <w:r w:rsidRPr="00582E49">
      <w:rPr>
        <w:noProof/>
      </w:rPr>
      <w:drawing>
        <wp:anchor distT="0" distB="0" distL="114300" distR="114300" simplePos="0" relativeHeight="251659264" behindDoc="1" locked="0" layoutInCell="1" allowOverlap="1">
          <wp:simplePos x="0" y="0"/>
          <wp:positionH relativeFrom="column">
            <wp:posOffset>-548640</wp:posOffset>
          </wp:positionH>
          <wp:positionV relativeFrom="paragraph">
            <wp:posOffset>-228600</wp:posOffset>
          </wp:positionV>
          <wp:extent cx="1651000" cy="895350"/>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51000" cy="897466"/>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C6" w:rsidRPr="00582E49" w:rsidRDefault="00B354C6" w:rsidP="00582E49">
    <w:pPr>
      <w:rPr>
        <w:rFonts w:ascii="American Typewriter" w:hAnsi="American Typewriter"/>
        <w:sz w:val="22"/>
      </w:rPr>
    </w:pPr>
    <w:r w:rsidRPr="00582E49">
      <w:rPr>
        <w:rFonts w:ascii="American Typewriter" w:hAnsi="American Typewriter"/>
        <w:sz w:val="22"/>
      </w:rPr>
      <w:t>Simon&amp;Co.</w:t>
    </w:r>
  </w:p>
  <w:p w:rsidR="00B354C6" w:rsidRPr="00582E49" w:rsidRDefault="00B354C6" w:rsidP="00582E49">
    <w:pPr>
      <w:rPr>
        <w:rFonts w:ascii="American Typewriter" w:hAnsi="American Typewriter"/>
        <w:sz w:val="22"/>
      </w:rPr>
    </w:pPr>
    <w:r w:rsidRPr="00582E49">
      <w:rPr>
        <w:rFonts w:ascii="American Typewriter" w:hAnsi="American Typewriter"/>
        <w:sz w:val="22"/>
      </w:rPr>
      <w:t>Summary CMS MIPS and APM Proposed Rule</w:t>
    </w:r>
  </w:p>
  <w:p w:rsidR="00B354C6" w:rsidRDefault="00B354C6" w:rsidP="00582E49">
    <w:pPr>
      <w:rPr>
        <w:rStyle w:val="PageNumber"/>
      </w:rPr>
    </w:pPr>
    <w:r w:rsidRPr="00582E49">
      <w:rPr>
        <w:rFonts w:ascii="American Typewriter" w:hAnsi="American Typewriter"/>
        <w:sz w:val="22"/>
      </w:rPr>
      <w:t xml:space="preserve">Page </w:t>
    </w:r>
    <w:r w:rsidR="005B74DC" w:rsidRPr="00582E49">
      <w:rPr>
        <w:rStyle w:val="PageNumber"/>
        <w:rFonts w:ascii="American Typewriter" w:hAnsi="American Typewriter"/>
        <w:sz w:val="22"/>
      </w:rPr>
      <w:fldChar w:fldCharType="begin"/>
    </w:r>
    <w:r w:rsidRPr="00582E49">
      <w:rPr>
        <w:rStyle w:val="PageNumber"/>
        <w:rFonts w:ascii="American Typewriter" w:hAnsi="American Typewriter"/>
        <w:sz w:val="22"/>
      </w:rPr>
      <w:instrText xml:space="preserve"> PAGE </w:instrText>
    </w:r>
    <w:r w:rsidR="005B74DC" w:rsidRPr="00582E49">
      <w:rPr>
        <w:rStyle w:val="PageNumber"/>
        <w:rFonts w:ascii="American Typewriter" w:hAnsi="American Typewriter"/>
        <w:sz w:val="22"/>
      </w:rPr>
      <w:fldChar w:fldCharType="separate"/>
    </w:r>
    <w:r w:rsidR="00B728AE">
      <w:rPr>
        <w:rStyle w:val="PageNumber"/>
        <w:rFonts w:ascii="American Typewriter" w:hAnsi="American Typewriter"/>
        <w:noProof/>
        <w:sz w:val="22"/>
      </w:rPr>
      <w:t>6</w:t>
    </w:r>
    <w:r w:rsidR="005B74DC" w:rsidRPr="00582E49">
      <w:rPr>
        <w:rStyle w:val="PageNumber"/>
        <w:rFonts w:ascii="American Typewriter" w:hAnsi="American Typewriter"/>
        <w:sz w:val="22"/>
      </w:rPr>
      <w:fldChar w:fldCharType="end"/>
    </w:r>
  </w:p>
  <w:p w:rsidR="00B354C6" w:rsidRPr="00582E49" w:rsidRDefault="005B74DC" w:rsidP="00582E49">
    <w:pPr>
      <w:rPr>
        <w:rFonts w:ascii="American Typewriter" w:hAnsi="American Typewriter"/>
        <w:sz w:val="22"/>
      </w:rPr>
    </w:pPr>
    <w:r w:rsidRPr="005B74DC">
      <w:rPr>
        <w:rFonts w:ascii="American Typewriter" w:hAnsi="American Typewrite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9.05pt;height:1.55pt" o:hrpct="0" o:hralign="center" o:hr="t">
          <v:imagedata r:id="rId1" o:title="Default Line"/>
        </v:shape>
      </w:pict>
    </w:r>
  </w:p>
  <w:p w:rsidR="00B354C6" w:rsidRPr="00582E49" w:rsidRDefault="00B354C6" w:rsidP="00582E49">
    <w:pPr>
      <w:rPr>
        <w:rFonts w:ascii="American Typewriter" w:hAnsi="American Typewrite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B2DF2"/>
    <w:multiLevelType w:val="multilevel"/>
    <w:tmpl w:val="93909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76A00"/>
    <w:multiLevelType w:val="multilevel"/>
    <w:tmpl w:val="93909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B0315"/>
    <w:multiLevelType w:val="hybridMultilevel"/>
    <w:tmpl w:val="F6FA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E74FA"/>
    <w:multiLevelType w:val="multilevel"/>
    <w:tmpl w:val="E96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4119B"/>
    <w:multiLevelType w:val="multilevel"/>
    <w:tmpl w:val="321A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71EEB"/>
    <w:multiLevelType w:val="multilevel"/>
    <w:tmpl w:val="93909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80F76"/>
    <w:multiLevelType w:val="multilevel"/>
    <w:tmpl w:val="93909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1"/>
  </w:hdrShapeDefaults>
  <w:compat>
    <w:doNotAutofitConstrainedTables/>
    <w:splitPgBreakAndParaMark/>
    <w:doNotVertAlignCellWithSp/>
    <w:doNotBreakConstrainedForcedTable/>
    <w:useAnsiKerningPairs/>
    <w:cachedColBalance/>
  </w:compat>
  <w:rsids>
    <w:rsidRoot w:val="00805B70"/>
    <w:rsid w:val="0008745B"/>
    <w:rsid w:val="0012320F"/>
    <w:rsid w:val="00127618"/>
    <w:rsid w:val="00210C28"/>
    <w:rsid w:val="002322D4"/>
    <w:rsid w:val="00254B10"/>
    <w:rsid w:val="00254BD3"/>
    <w:rsid w:val="002C4098"/>
    <w:rsid w:val="002C54A9"/>
    <w:rsid w:val="002D7211"/>
    <w:rsid w:val="002F1391"/>
    <w:rsid w:val="00340398"/>
    <w:rsid w:val="0039011E"/>
    <w:rsid w:val="00412C1F"/>
    <w:rsid w:val="004331DA"/>
    <w:rsid w:val="00447828"/>
    <w:rsid w:val="00582E49"/>
    <w:rsid w:val="005B74DC"/>
    <w:rsid w:val="006232E7"/>
    <w:rsid w:val="00697F66"/>
    <w:rsid w:val="006E5927"/>
    <w:rsid w:val="007D099A"/>
    <w:rsid w:val="00805B70"/>
    <w:rsid w:val="00852031"/>
    <w:rsid w:val="00862452"/>
    <w:rsid w:val="00883159"/>
    <w:rsid w:val="008C03B9"/>
    <w:rsid w:val="008D0D95"/>
    <w:rsid w:val="008D7D95"/>
    <w:rsid w:val="00982858"/>
    <w:rsid w:val="009F7E18"/>
    <w:rsid w:val="00B354C6"/>
    <w:rsid w:val="00B728AE"/>
    <w:rsid w:val="00E31492"/>
    <w:rsid w:val="00EA3346"/>
    <w:rsid w:val="00EE62C3"/>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266B1"/>
  </w:style>
  <w:style w:type="paragraph" w:styleId="Heading3">
    <w:name w:val="heading 3"/>
    <w:basedOn w:val="Normal"/>
    <w:link w:val="Heading3Char"/>
    <w:uiPriority w:val="9"/>
    <w:rsid w:val="00210C2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05B70"/>
    <w:rPr>
      <w:color w:val="0000FF"/>
      <w:u w:val="single"/>
    </w:rPr>
  </w:style>
  <w:style w:type="character" w:customStyle="1" w:styleId="Heading3Char">
    <w:name w:val="Heading 3 Char"/>
    <w:basedOn w:val="DefaultParagraphFont"/>
    <w:link w:val="Heading3"/>
    <w:uiPriority w:val="9"/>
    <w:rsid w:val="00210C28"/>
    <w:rPr>
      <w:rFonts w:ascii="Times" w:hAnsi="Times"/>
      <w:b/>
      <w:sz w:val="27"/>
      <w:szCs w:val="20"/>
    </w:rPr>
  </w:style>
  <w:style w:type="paragraph" w:styleId="NormalWeb">
    <w:name w:val="Normal (Web)"/>
    <w:basedOn w:val="Normal"/>
    <w:uiPriority w:val="99"/>
    <w:rsid w:val="00210C28"/>
    <w:pPr>
      <w:spacing w:beforeLines="1" w:afterLines="1"/>
    </w:pPr>
    <w:rPr>
      <w:rFonts w:ascii="Times" w:hAnsi="Times" w:cs="Times New Roman"/>
      <w:sz w:val="20"/>
      <w:szCs w:val="20"/>
    </w:rPr>
  </w:style>
  <w:style w:type="paragraph" w:styleId="ListParagraph">
    <w:name w:val="List Paragraph"/>
    <w:basedOn w:val="Normal"/>
    <w:rsid w:val="002322D4"/>
    <w:pPr>
      <w:ind w:left="720"/>
      <w:contextualSpacing/>
    </w:pPr>
  </w:style>
  <w:style w:type="paragraph" w:styleId="FootnoteText">
    <w:name w:val="footnote text"/>
    <w:basedOn w:val="Normal"/>
    <w:link w:val="FootnoteTextChar"/>
    <w:rsid w:val="00EE62C3"/>
  </w:style>
  <w:style w:type="character" w:customStyle="1" w:styleId="FootnoteTextChar">
    <w:name w:val="Footnote Text Char"/>
    <w:basedOn w:val="DefaultParagraphFont"/>
    <w:link w:val="FootnoteText"/>
    <w:rsid w:val="00EE62C3"/>
  </w:style>
  <w:style w:type="character" w:styleId="FootnoteReference">
    <w:name w:val="footnote reference"/>
    <w:basedOn w:val="DefaultParagraphFont"/>
    <w:rsid w:val="00EE62C3"/>
    <w:rPr>
      <w:vertAlign w:val="superscript"/>
    </w:rPr>
  </w:style>
  <w:style w:type="paragraph" w:styleId="Header">
    <w:name w:val="header"/>
    <w:basedOn w:val="Normal"/>
    <w:link w:val="HeaderChar"/>
    <w:rsid w:val="00582E49"/>
    <w:pPr>
      <w:tabs>
        <w:tab w:val="center" w:pos="4320"/>
        <w:tab w:val="right" w:pos="8640"/>
      </w:tabs>
    </w:pPr>
  </w:style>
  <w:style w:type="character" w:customStyle="1" w:styleId="HeaderChar">
    <w:name w:val="Header Char"/>
    <w:basedOn w:val="DefaultParagraphFont"/>
    <w:link w:val="Header"/>
    <w:rsid w:val="00582E49"/>
  </w:style>
  <w:style w:type="paragraph" w:styleId="Footer">
    <w:name w:val="footer"/>
    <w:basedOn w:val="Normal"/>
    <w:link w:val="FooterChar"/>
    <w:uiPriority w:val="99"/>
    <w:rsid w:val="00582E49"/>
    <w:pPr>
      <w:tabs>
        <w:tab w:val="center" w:pos="4320"/>
        <w:tab w:val="right" w:pos="8640"/>
      </w:tabs>
    </w:pPr>
  </w:style>
  <w:style w:type="character" w:customStyle="1" w:styleId="FooterChar">
    <w:name w:val="Footer Char"/>
    <w:basedOn w:val="DefaultParagraphFont"/>
    <w:link w:val="Footer"/>
    <w:uiPriority w:val="99"/>
    <w:rsid w:val="00582E49"/>
  </w:style>
  <w:style w:type="character" w:styleId="PageNumber">
    <w:name w:val="page number"/>
    <w:basedOn w:val="DefaultParagraphFont"/>
    <w:rsid w:val="00582E49"/>
  </w:style>
  <w:style w:type="table" w:styleId="TableGrid">
    <w:name w:val="Table Grid"/>
    <w:basedOn w:val="TableNormal"/>
    <w:rsid w:val="008624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38553">
      <w:bodyDiv w:val="1"/>
      <w:marLeft w:val="0"/>
      <w:marRight w:val="0"/>
      <w:marTop w:val="0"/>
      <w:marBottom w:val="0"/>
      <w:divBdr>
        <w:top w:val="none" w:sz="0" w:space="0" w:color="auto"/>
        <w:left w:val="none" w:sz="0" w:space="0" w:color="auto"/>
        <w:bottom w:val="none" w:sz="0" w:space="0" w:color="auto"/>
        <w:right w:val="none" w:sz="0" w:space="0" w:color="auto"/>
      </w:divBdr>
      <w:divsChild>
        <w:div w:id="1340430273">
          <w:marLeft w:val="0"/>
          <w:marRight w:val="0"/>
          <w:marTop w:val="0"/>
          <w:marBottom w:val="0"/>
          <w:divBdr>
            <w:top w:val="none" w:sz="0" w:space="0" w:color="auto"/>
            <w:left w:val="none" w:sz="0" w:space="0" w:color="auto"/>
            <w:bottom w:val="none" w:sz="0" w:space="0" w:color="auto"/>
            <w:right w:val="none" w:sz="0" w:space="0" w:color="auto"/>
          </w:divBdr>
        </w:div>
        <w:div w:id="914970553">
          <w:marLeft w:val="0"/>
          <w:marRight w:val="0"/>
          <w:marTop w:val="0"/>
          <w:marBottom w:val="0"/>
          <w:divBdr>
            <w:top w:val="none" w:sz="0" w:space="0" w:color="auto"/>
            <w:left w:val="none" w:sz="0" w:space="0" w:color="auto"/>
            <w:bottom w:val="none" w:sz="0" w:space="0" w:color="auto"/>
            <w:right w:val="none" w:sz="0" w:space="0" w:color="auto"/>
          </w:divBdr>
        </w:div>
      </w:divsChild>
    </w:div>
    <w:div w:id="83847551">
      <w:bodyDiv w:val="1"/>
      <w:marLeft w:val="0"/>
      <w:marRight w:val="0"/>
      <w:marTop w:val="0"/>
      <w:marBottom w:val="0"/>
      <w:divBdr>
        <w:top w:val="none" w:sz="0" w:space="0" w:color="auto"/>
        <w:left w:val="none" w:sz="0" w:space="0" w:color="auto"/>
        <w:bottom w:val="none" w:sz="0" w:space="0" w:color="auto"/>
        <w:right w:val="none" w:sz="0" w:space="0" w:color="auto"/>
      </w:divBdr>
      <w:divsChild>
        <w:div w:id="257298155">
          <w:marLeft w:val="0"/>
          <w:marRight w:val="0"/>
          <w:marTop w:val="0"/>
          <w:marBottom w:val="0"/>
          <w:divBdr>
            <w:top w:val="none" w:sz="0" w:space="0" w:color="auto"/>
            <w:left w:val="none" w:sz="0" w:space="0" w:color="auto"/>
            <w:bottom w:val="none" w:sz="0" w:space="0" w:color="auto"/>
            <w:right w:val="none" w:sz="0" w:space="0" w:color="auto"/>
          </w:divBdr>
        </w:div>
        <w:div w:id="1430390632">
          <w:marLeft w:val="0"/>
          <w:marRight w:val="0"/>
          <w:marTop w:val="0"/>
          <w:marBottom w:val="0"/>
          <w:divBdr>
            <w:top w:val="none" w:sz="0" w:space="0" w:color="auto"/>
            <w:left w:val="none" w:sz="0" w:space="0" w:color="auto"/>
            <w:bottom w:val="none" w:sz="0" w:space="0" w:color="auto"/>
            <w:right w:val="none" w:sz="0" w:space="0" w:color="auto"/>
          </w:divBdr>
        </w:div>
        <w:div w:id="810246196">
          <w:marLeft w:val="0"/>
          <w:marRight w:val="0"/>
          <w:marTop w:val="0"/>
          <w:marBottom w:val="0"/>
          <w:divBdr>
            <w:top w:val="none" w:sz="0" w:space="0" w:color="auto"/>
            <w:left w:val="none" w:sz="0" w:space="0" w:color="auto"/>
            <w:bottom w:val="none" w:sz="0" w:space="0" w:color="auto"/>
            <w:right w:val="none" w:sz="0" w:space="0" w:color="auto"/>
          </w:divBdr>
        </w:div>
        <w:div w:id="1174959657">
          <w:marLeft w:val="0"/>
          <w:marRight w:val="0"/>
          <w:marTop w:val="0"/>
          <w:marBottom w:val="0"/>
          <w:divBdr>
            <w:top w:val="none" w:sz="0" w:space="0" w:color="auto"/>
            <w:left w:val="none" w:sz="0" w:space="0" w:color="auto"/>
            <w:bottom w:val="none" w:sz="0" w:space="0" w:color="auto"/>
            <w:right w:val="none" w:sz="0" w:space="0" w:color="auto"/>
          </w:divBdr>
        </w:div>
        <w:div w:id="1095252365">
          <w:marLeft w:val="0"/>
          <w:marRight w:val="0"/>
          <w:marTop w:val="0"/>
          <w:marBottom w:val="0"/>
          <w:divBdr>
            <w:top w:val="none" w:sz="0" w:space="0" w:color="auto"/>
            <w:left w:val="none" w:sz="0" w:space="0" w:color="auto"/>
            <w:bottom w:val="none" w:sz="0" w:space="0" w:color="auto"/>
            <w:right w:val="none" w:sz="0" w:space="0" w:color="auto"/>
          </w:divBdr>
        </w:div>
        <w:div w:id="1993243853">
          <w:marLeft w:val="0"/>
          <w:marRight w:val="0"/>
          <w:marTop w:val="0"/>
          <w:marBottom w:val="0"/>
          <w:divBdr>
            <w:top w:val="none" w:sz="0" w:space="0" w:color="auto"/>
            <w:left w:val="none" w:sz="0" w:space="0" w:color="auto"/>
            <w:bottom w:val="none" w:sz="0" w:space="0" w:color="auto"/>
            <w:right w:val="none" w:sz="0" w:space="0" w:color="auto"/>
          </w:divBdr>
        </w:div>
        <w:div w:id="1646157257">
          <w:marLeft w:val="0"/>
          <w:marRight w:val="0"/>
          <w:marTop w:val="0"/>
          <w:marBottom w:val="0"/>
          <w:divBdr>
            <w:top w:val="none" w:sz="0" w:space="0" w:color="auto"/>
            <w:left w:val="none" w:sz="0" w:space="0" w:color="auto"/>
            <w:bottom w:val="none" w:sz="0" w:space="0" w:color="auto"/>
            <w:right w:val="none" w:sz="0" w:space="0" w:color="auto"/>
          </w:divBdr>
        </w:div>
        <w:div w:id="321782451">
          <w:marLeft w:val="0"/>
          <w:marRight w:val="0"/>
          <w:marTop w:val="0"/>
          <w:marBottom w:val="0"/>
          <w:divBdr>
            <w:top w:val="none" w:sz="0" w:space="0" w:color="auto"/>
            <w:left w:val="none" w:sz="0" w:space="0" w:color="auto"/>
            <w:bottom w:val="none" w:sz="0" w:space="0" w:color="auto"/>
            <w:right w:val="none" w:sz="0" w:space="0" w:color="auto"/>
          </w:divBdr>
        </w:div>
        <w:div w:id="174464579">
          <w:marLeft w:val="0"/>
          <w:marRight w:val="0"/>
          <w:marTop w:val="0"/>
          <w:marBottom w:val="0"/>
          <w:divBdr>
            <w:top w:val="none" w:sz="0" w:space="0" w:color="auto"/>
            <w:left w:val="none" w:sz="0" w:space="0" w:color="auto"/>
            <w:bottom w:val="none" w:sz="0" w:space="0" w:color="auto"/>
            <w:right w:val="none" w:sz="0" w:space="0" w:color="auto"/>
          </w:divBdr>
        </w:div>
        <w:div w:id="1864587673">
          <w:marLeft w:val="0"/>
          <w:marRight w:val="0"/>
          <w:marTop w:val="0"/>
          <w:marBottom w:val="0"/>
          <w:divBdr>
            <w:top w:val="none" w:sz="0" w:space="0" w:color="auto"/>
            <w:left w:val="none" w:sz="0" w:space="0" w:color="auto"/>
            <w:bottom w:val="none" w:sz="0" w:space="0" w:color="auto"/>
            <w:right w:val="none" w:sz="0" w:space="0" w:color="auto"/>
          </w:divBdr>
        </w:div>
        <w:div w:id="1802918653">
          <w:marLeft w:val="0"/>
          <w:marRight w:val="0"/>
          <w:marTop w:val="0"/>
          <w:marBottom w:val="0"/>
          <w:divBdr>
            <w:top w:val="none" w:sz="0" w:space="0" w:color="auto"/>
            <w:left w:val="none" w:sz="0" w:space="0" w:color="auto"/>
            <w:bottom w:val="none" w:sz="0" w:space="0" w:color="auto"/>
            <w:right w:val="none" w:sz="0" w:space="0" w:color="auto"/>
          </w:divBdr>
        </w:div>
        <w:div w:id="1299645154">
          <w:marLeft w:val="0"/>
          <w:marRight w:val="0"/>
          <w:marTop w:val="0"/>
          <w:marBottom w:val="0"/>
          <w:divBdr>
            <w:top w:val="none" w:sz="0" w:space="0" w:color="auto"/>
            <w:left w:val="none" w:sz="0" w:space="0" w:color="auto"/>
            <w:bottom w:val="none" w:sz="0" w:space="0" w:color="auto"/>
            <w:right w:val="none" w:sz="0" w:space="0" w:color="auto"/>
          </w:divBdr>
        </w:div>
        <w:div w:id="859470803">
          <w:marLeft w:val="0"/>
          <w:marRight w:val="0"/>
          <w:marTop w:val="0"/>
          <w:marBottom w:val="0"/>
          <w:divBdr>
            <w:top w:val="none" w:sz="0" w:space="0" w:color="auto"/>
            <w:left w:val="none" w:sz="0" w:space="0" w:color="auto"/>
            <w:bottom w:val="none" w:sz="0" w:space="0" w:color="auto"/>
            <w:right w:val="none" w:sz="0" w:space="0" w:color="auto"/>
          </w:divBdr>
        </w:div>
      </w:divsChild>
    </w:div>
    <w:div w:id="171652934">
      <w:bodyDiv w:val="1"/>
      <w:marLeft w:val="0"/>
      <w:marRight w:val="0"/>
      <w:marTop w:val="0"/>
      <w:marBottom w:val="0"/>
      <w:divBdr>
        <w:top w:val="none" w:sz="0" w:space="0" w:color="auto"/>
        <w:left w:val="none" w:sz="0" w:space="0" w:color="auto"/>
        <w:bottom w:val="none" w:sz="0" w:space="0" w:color="auto"/>
        <w:right w:val="none" w:sz="0" w:space="0" w:color="auto"/>
      </w:divBdr>
      <w:divsChild>
        <w:div w:id="90666950">
          <w:marLeft w:val="0"/>
          <w:marRight w:val="0"/>
          <w:marTop w:val="0"/>
          <w:marBottom w:val="0"/>
          <w:divBdr>
            <w:top w:val="none" w:sz="0" w:space="0" w:color="auto"/>
            <w:left w:val="none" w:sz="0" w:space="0" w:color="auto"/>
            <w:bottom w:val="none" w:sz="0" w:space="0" w:color="auto"/>
            <w:right w:val="none" w:sz="0" w:space="0" w:color="auto"/>
          </w:divBdr>
        </w:div>
        <w:div w:id="196626737">
          <w:marLeft w:val="0"/>
          <w:marRight w:val="0"/>
          <w:marTop w:val="0"/>
          <w:marBottom w:val="0"/>
          <w:divBdr>
            <w:top w:val="none" w:sz="0" w:space="0" w:color="auto"/>
            <w:left w:val="none" w:sz="0" w:space="0" w:color="auto"/>
            <w:bottom w:val="none" w:sz="0" w:space="0" w:color="auto"/>
            <w:right w:val="none" w:sz="0" w:space="0" w:color="auto"/>
          </w:divBdr>
        </w:div>
        <w:div w:id="1807166344">
          <w:marLeft w:val="0"/>
          <w:marRight w:val="0"/>
          <w:marTop w:val="0"/>
          <w:marBottom w:val="0"/>
          <w:divBdr>
            <w:top w:val="none" w:sz="0" w:space="0" w:color="auto"/>
            <w:left w:val="none" w:sz="0" w:space="0" w:color="auto"/>
            <w:bottom w:val="none" w:sz="0" w:space="0" w:color="auto"/>
            <w:right w:val="none" w:sz="0" w:space="0" w:color="auto"/>
          </w:divBdr>
        </w:div>
      </w:divsChild>
    </w:div>
    <w:div w:id="255288126">
      <w:bodyDiv w:val="1"/>
      <w:marLeft w:val="0"/>
      <w:marRight w:val="0"/>
      <w:marTop w:val="0"/>
      <w:marBottom w:val="0"/>
      <w:divBdr>
        <w:top w:val="none" w:sz="0" w:space="0" w:color="auto"/>
        <w:left w:val="none" w:sz="0" w:space="0" w:color="auto"/>
        <w:bottom w:val="none" w:sz="0" w:space="0" w:color="auto"/>
        <w:right w:val="none" w:sz="0" w:space="0" w:color="auto"/>
      </w:divBdr>
      <w:divsChild>
        <w:div w:id="240602441">
          <w:marLeft w:val="0"/>
          <w:marRight w:val="0"/>
          <w:marTop w:val="0"/>
          <w:marBottom w:val="0"/>
          <w:divBdr>
            <w:top w:val="none" w:sz="0" w:space="0" w:color="auto"/>
            <w:left w:val="none" w:sz="0" w:space="0" w:color="auto"/>
            <w:bottom w:val="none" w:sz="0" w:space="0" w:color="auto"/>
            <w:right w:val="none" w:sz="0" w:space="0" w:color="auto"/>
          </w:divBdr>
        </w:div>
        <w:div w:id="375129499">
          <w:marLeft w:val="0"/>
          <w:marRight w:val="0"/>
          <w:marTop w:val="0"/>
          <w:marBottom w:val="0"/>
          <w:divBdr>
            <w:top w:val="none" w:sz="0" w:space="0" w:color="auto"/>
            <w:left w:val="none" w:sz="0" w:space="0" w:color="auto"/>
            <w:bottom w:val="none" w:sz="0" w:space="0" w:color="auto"/>
            <w:right w:val="none" w:sz="0" w:space="0" w:color="auto"/>
          </w:divBdr>
        </w:div>
        <w:div w:id="224991773">
          <w:marLeft w:val="0"/>
          <w:marRight w:val="0"/>
          <w:marTop w:val="0"/>
          <w:marBottom w:val="0"/>
          <w:divBdr>
            <w:top w:val="none" w:sz="0" w:space="0" w:color="auto"/>
            <w:left w:val="none" w:sz="0" w:space="0" w:color="auto"/>
            <w:bottom w:val="none" w:sz="0" w:space="0" w:color="auto"/>
            <w:right w:val="none" w:sz="0" w:space="0" w:color="auto"/>
          </w:divBdr>
        </w:div>
        <w:div w:id="1285193020">
          <w:marLeft w:val="0"/>
          <w:marRight w:val="0"/>
          <w:marTop w:val="0"/>
          <w:marBottom w:val="0"/>
          <w:divBdr>
            <w:top w:val="none" w:sz="0" w:space="0" w:color="auto"/>
            <w:left w:val="none" w:sz="0" w:space="0" w:color="auto"/>
            <w:bottom w:val="none" w:sz="0" w:space="0" w:color="auto"/>
            <w:right w:val="none" w:sz="0" w:space="0" w:color="auto"/>
          </w:divBdr>
        </w:div>
        <w:div w:id="557787035">
          <w:marLeft w:val="0"/>
          <w:marRight w:val="0"/>
          <w:marTop w:val="0"/>
          <w:marBottom w:val="0"/>
          <w:divBdr>
            <w:top w:val="none" w:sz="0" w:space="0" w:color="auto"/>
            <w:left w:val="none" w:sz="0" w:space="0" w:color="auto"/>
            <w:bottom w:val="none" w:sz="0" w:space="0" w:color="auto"/>
            <w:right w:val="none" w:sz="0" w:space="0" w:color="auto"/>
          </w:divBdr>
        </w:div>
        <w:div w:id="1788618261">
          <w:marLeft w:val="0"/>
          <w:marRight w:val="0"/>
          <w:marTop w:val="0"/>
          <w:marBottom w:val="0"/>
          <w:divBdr>
            <w:top w:val="none" w:sz="0" w:space="0" w:color="auto"/>
            <w:left w:val="none" w:sz="0" w:space="0" w:color="auto"/>
            <w:bottom w:val="none" w:sz="0" w:space="0" w:color="auto"/>
            <w:right w:val="none" w:sz="0" w:space="0" w:color="auto"/>
          </w:divBdr>
        </w:div>
      </w:divsChild>
    </w:div>
    <w:div w:id="350036315">
      <w:bodyDiv w:val="1"/>
      <w:marLeft w:val="0"/>
      <w:marRight w:val="0"/>
      <w:marTop w:val="0"/>
      <w:marBottom w:val="0"/>
      <w:divBdr>
        <w:top w:val="none" w:sz="0" w:space="0" w:color="auto"/>
        <w:left w:val="none" w:sz="0" w:space="0" w:color="auto"/>
        <w:bottom w:val="none" w:sz="0" w:space="0" w:color="auto"/>
        <w:right w:val="none" w:sz="0" w:space="0" w:color="auto"/>
      </w:divBdr>
    </w:div>
    <w:div w:id="389622299">
      <w:bodyDiv w:val="1"/>
      <w:marLeft w:val="0"/>
      <w:marRight w:val="0"/>
      <w:marTop w:val="0"/>
      <w:marBottom w:val="0"/>
      <w:divBdr>
        <w:top w:val="none" w:sz="0" w:space="0" w:color="auto"/>
        <w:left w:val="none" w:sz="0" w:space="0" w:color="auto"/>
        <w:bottom w:val="none" w:sz="0" w:space="0" w:color="auto"/>
        <w:right w:val="none" w:sz="0" w:space="0" w:color="auto"/>
      </w:divBdr>
      <w:divsChild>
        <w:div w:id="1400666877">
          <w:marLeft w:val="0"/>
          <w:marRight w:val="0"/>
          <w:marTop w:val="0"/>
          <w:marBottom w:val="0"/>
          <w:divBdr>
            <w:top w:val="none" w:sz="0" w:space="0" w:color="auto"/>
            <w:left w:val="none" w:sz="0" w:space="0" w:color="auto"/>
            <w:bottom w:val="none" w:sz="0" w:space="0" w:color="auto"/>
            <w:right w:val="none" w:sz="0" w:space="0" w:color="auto"/>
          </w:divBdr>
        </w:div>
        <w:div w:id="1463572117">
          <w:marLeft w:val="0"/>
          <w:marRight w:val="0"/>
          <w:marTop w:val="0"/>
          <w:marBottom w:val="0"/>
          <w:divBdr>
            <w:top w:val="none" w:sz="0" w:space="0" w:color="auto"/>
            <w:left w:val="none" w:sz="0" w:space="0" w:color="auto"/>
            <w:bottom w:val="none" w:sz="0" w:space="0" w:color="auto"/>
            <w:right w:val="none" w:sz="0" w:space="0" w:color="auto"/>
          </w:divBdr>
        </w:div>
        <w:div w:id="1147556436">
          <w:marLeft w:val="0"/>
          <w:marRight w:val="0"/>
          <w:marTop w:val="0"/>
          <w:marBottom w:val="0"/>
          <w:divBdr>
            <w:top w:val="none" w:sz="0" w:space="0" w:color="auto"/>
            <w:left w:val="none" w:sz="0" w:space="0" w:color="auto"/>
            <w:bottom w:val="none" w:sz="0" w:space="0" w:color="auto"/>
            <w:right w:val="none" w:sz="0" w:space="0" w:color="auto"/>
          </w:divBdr>
        </w:div>
        <w:div w:id="1945766040">
          <w:marLeft w:val="0"/>
          <w:marRight w:val="0"/>
          <w:marTop w:val="0"/>
          <w:marBottom w:val="0"/>
          <w:divBdr>
            <w:top w:val="none" w:sz="0" w:space="0" w:color="auto"/>
            <w:left w:val="none" w:sz="0" w:space="0" w:color="auto"/>
            <w:bottom w:val="none" w:sz="0" w:space="0" w:color="auto"/>
            <w:right w:val="none" w:sz="0" w:space="0" w:color="auto"/>
          </w:divBdr>
        </w:div>
        <w:div w:id="1213617385">
          <w:marLeft w:val="0"/>
          <w:marRight w:val="0"/>
          <w:marTop w:val="0"/>
          <w:marBottom w:val="0"/>
          <w:divBdr>
            <w:top w:val="none" w:sz="0" w:space="0" w:color="auto"/>
            <w:left w:val="none" w:sz="0" w:space="0" w:color="auto"/>
            <w:bottom w:val="none" w:sz="0" w:space="0" w:color="auto"/>
            <w:right w:val="none" w:sz="0" w:space="0" w:color="auto"/>
          </w:divBdr>
        </w:div>
        <w:div w:id="409237401">
          <w:marLeft w:val="0"/>
          <w:marRight w:val="0"/>
          <w:marTop w:val="0"/>
          <w:marBottom w:val="0"/>
          <w:divBdr>
            <w:top w:val="none" w:sz="0" w:space="0" w:color="auto"/>
            <w:left w:val="none" w:sz="0" w:space="0" w:color="auto"/>
            <w:bottom w:val="none" w:sz="0" w:space="0" w:color="auto"/>
            <w:right w:val="none" w:sz="0" w:space="0" w:color="auto"/>
          </w:divBdr>
        </w:div>
        <w:div w:id="1687439674">
          <w:marLeft w:val="0"/>
          <w:marRight w:val="0"/>
          <w:marTop w:val="0"/>
          <w:marBottom w:val="0"/>
          <w:divBdr>
            <w:top w:val="none" w:sz="0" w:space="0" w:color="auto"/>
            <w:left w:val="none" w:sz="0" w:space="0" w:color="auto"/>
            <w:bottom w:val="none" w:sz="0" w:space="0" w:color="auto"/>
            <w:right w:val="none" w:sz="0" w:space="0" w:color="auto"/>
          </w:divBdr>
        </w:div>
        <w:div w:id="1728142797">
          <w:marLeft w:val="0"/>
          <w:marRight w:val="0"/>
          <w:marTop w:val="0"/>
          <w:marBottom w:val="0"/>
          <w:divBdr>
            <w:top w:val="none" w:sz="0" w:space="0" w:color="auto"/>
            <w:left w:val="none" w:sz="0" w:space="0" w:color="auto"/>
            <w:bottom w:val="none" w:sz="0" w:space="0" w:color="auto"/>
            <w:right w:val="none" w:sz="0" w:space="0" w:color="auto"/>
          </w:divBdr>
        </w:div>
        <w:div w:id="793913372">
          <w:marLeft w:val="0"/>
          <w:marRight w:val="0"/>
          <w:marTop w:val="0"/>
          <w:marBottom w:val="0"/>
          <w:divBdr>
            <w:top w:val="none" w:sz="0" w:space="0" w:color="auto"/>
            <w:left w:val="none" w:sz="0" w:space="0" w:color="auto"/>
            <w:bottom w:val="none" w:sz="0" w:space="0" w:color="auto"/>
            <w:right w:val="none" w:sz="0" w:space="0" w:color="auto"/>
          </w:divBdr>
        </w:div>
        <w:div w:id="1318262445">
          <w:marLeft w:val="0"/>
          <w:marRight w:val="0"/>
          <w:marTop w:val="0"/>
          <w:marBottom w:val="0"/>
          <w:divBdr>
            <w:top w:val="none" w:sz="0" w:space="0" w:color="auto"/>
            <w:left w:val="none" w:sz="0" w:space="0" w:color="auto"/>
            <w:bottom w:val="none" w:sz="0" w:space="0" w:color="auto"/>
            <w:right w:val="none" w:sz="0" w:space="0" w:color="auto"/>
          </w:divBdr>
        </w:div>
        <w:div w:id="1938901323">
          <w:marLeft w:val="0"/>
          <w:marRight w:val="0"/>
          <w:marTop w:val="0"/>
          <w:marBottom w:val="0"/>
          <w:divBdr>
            <w:top w:val="none" w:sz="0" w:space="0" w:color="auto"/>
            <w:left w:val="none" w:sz="0" w:space="0" w:color="auto"/>
            <w:bottom w:val="none" w:sz="0" w:space="0" w:color="auto"/>
            <w:right w:val="none" w:sz="0" w:space="0" w:color="auto"/>
          </w:divBdr>
        </w:div>
        <w:div w:id="1615939723">
          <w:marLeft w:val="0"/>
          <w:marRight w:val="0"/>
          <w:marTop w:val="0"/>
          <w:marBottom w:val="0"/>
          <w:divBdr>
            <w:top w:val="none" w:sz="0" w:space="0" w:color="auto"/>
            <w:left w:val="none" w:sz="0" w:space="0" w:color="auto"/>
            <w:bottom w:val="none" w:sz="0" w:space="0" w:color="auto"/>
            <w:right w:val="none" w:sz="0" w:space="0" w:color="auto"/>
          </w:divBdr>
        </w:div>
        <w:div w:id="733433913">
          <w:marLeft w:val="0"/>
          <w:marRight w:val="0"/>
          <w:marTop w:val="0"/>
          <w:marBottom w:val="0"/>
          <w:divBdr>
            <w:top w:val="none" w:sz="0" w:space="0" w:color="auto"/>
            <w:left w:val="none" w:sz="0" w:space="0" w:color="auto"/>
            <w:bottom w:val="none" w:sz="0" w:space="0" w:color="auto"/>
            <w:right w:val="none" w:sz="0" w:space="0" w:color="auto"/>
          </w:divBdr>
        </w:div>
        <w:div w:id="1013383740">
          <w:marLeft w:val="0"/>
          <w:marRight w:val="0"/>
          <w:marTop w:val="0"/>
          <w:marBottom w:val="0"/>
          <w:divBdr>
            <w:top w:val="none" w:sz="0" w:space="0" w:color="auto"/>
            <w:left w:val="none" w:sz="0" w:space="0" w:color="auto"/>
            <w:bottom w:val="none" w:sz="0" w:space="0" w:color="auto"/>
            <w:right w:val="none" w:sz="0" w:space="0" w:color="auto"/>
          </w:divBdr>
        </w:div>
        <w:div w:id="891696404">
          <w:marLeft w:val="0"/>
          <w:marRight w:val="0"/>
          <w:marTop w:val="0"/>
          <w:marBottom w:val="0"/>
          <w:divBdr>
            <w:top w:val="none" w:sz="0" w:space="0" w:color="auto"/>
            <w:left w:val="none" w:sz="0" w:space="0" w:color="auto"/>
            <w:bottom w:val="none" w:sz="0" w:space="0" w:color="auto"/>
            <w:right w:val="none" w:sz="0" w:space="0" w:color="auto"/>
          </w:divBdr>
        </w:div>
        <w:div w:id="1429425171">
          <w:marLeft w:val="0"/>
          <w:marRight w:val="0"/>
          <w:marTop w:val="0"/>
          <w:marBottom w:val="0"/>
          <w:divBdr>
            <w:top w:val="none" w:sz="0" w:space="0" w:color="auto"/>
            <w:left w:val="none" w:sz="0" w:space="0" w:color="auto"/>
            <w:bottom w:val="none" w:sz="0" w:space="0" w:color="auto"/>
            <w:right w:val="none" w:sz="0" w:space="0" w:color="auto"/>
          </w:divBdr>
        </w:div>
      </w:divsChild>
    </w:div>
    <w:div w:id="401606388">
      <w:bodyDiv w:val="1"/>
      <w:marLeft w:val="0"/>
      <w:marRight w:val="0"/>
      <w:marTop w:val="0"/>
      <w:marBottom w:val="0"/>
      <w:divBdr>
        <w:top w:val="none" w:sz="0" w:space="0" w:color="auto"/>
        <w:left w:val="none" w:sz="0" w:space="0" w:color="auto"/>
        <w:bottom w:val="none" w:sz="0" w:space="0" w:color="auto"/>
        <w:right w:val="none" w:sz="0" w:space="0" w:color="auto"/>
      </w:divBdr>
      <w:divsChild>
        <w:div w:id="13964202">
          <w:marLeft w:val="0"/>
          <w:marRight w:val="0"/>
          <w:marTop w:val="0"/>
          <w:marBottom w:val="0"/>
          <w:divBdr>
            <w:top w:val="none" w:sz="0" w:space="0" w:color="auto"/>
            <w:left w:val="none" w:sz="0" w:space="0" w:color="auto"/>
            <w:bottom w:val="none" w:sz="0" w:space="0" w:color="auto"/>
            <w:right w:val="none" w:sz="0" w:space="0" w:color="auto"/>
          </w:divBdr>
          <w:divsChild>
            <w:div w:id="731082049">
              <w:marLeft w:val="0"/>
              <w:marRight w:val="0"/>
              <w:marTop w:val="0"/>
              <w:marBottom w:val="0"/>
              <w:divBdr>
                <w:top w:val="none" w:sz="0" w:space="0" w:color="auto"/>
                <w:left w:val="none" w:sz="0" w:space="0" w:color="auto"/>
                <w:bottom w:val="none" w:sz="0" w:space="0" w:color="auto"/>
                <w:right w:val="none" w:sz="0" w:space="0" w:color="auto"/>
              </w:divBdr>
              <w:divsChild>
                <w:div w:id="9106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33">
          <w:marLeft w:val="0"/>
          <w:marRight w:val="0"/>
          <w:marTop w:val="0"/>
          <w:marBottom w:val="0"/>
          <w:divBdr>
            <w:top w:val="none" w:sz="0" w:space="0" w:color="auto"/>
            <w:left w:val="none" w:sz="0" w:space="0" w:color="auto"/>
            <w:bottom w:val="none" w:sz="0" w:space="0" w:color="auto"/>
            <w:right w:val="none" w:sz="0" w:space="0" w:color="auto"/>
          </w:divBdr>
        </w:div>
        <w:div w:id="1972519284">
          <w:marLeft w:val="0"/>
          <w:marRight w:val="0"/>
          <w:marTop w:val="0"/>
          <w:marBottom w:val="0"/>
          <w:divBdr>
            <w:top w:val="none" w:sz="0" w:space="0" w:color="auto"/>
            <w:left w:val="none" w:sz="0" w:space="0" w:color="auto"/>
            <w:bottom w:val="none" w:sz="0" w:space="0" w:color="auto"/>
            <w:right w:val="none" w:sz="0" w:space="0" w:color="auto"/>
          </w:divBdr>
        </w:div>
        <w:div w:id="132717538">
          <w:marLeft w:val="0"/>
          <w:marRight w:val="0"/>
          <w:marTop w:val="0"/>
          <w:marBottom w:val="0"/>
          <w:divBdr>
            <w:top w:val="none" w:sz="0" w:space="0" w:color="auto"/>
            <w:left w:val="none" w:sz="0" w:space="0" w:color="auto"/>
            <w:bottom w:val="none" w:sz="0" w:space="0" w:color="auto"/>
            <w:right w:val="none" w:sz="0" w:space="0" w:color="auto"/>
          </w:divBdr>
        </w:div>
        <w:div w:id="1060909340">
          <w:marLeft w:val="0"/>
          <w:marRight w:val="0"/>
          <w:marTop w:val="0"/>
          <w:marBottom w:val="0"/>
          <w:divBdr>
            <w:top w:val="none" w:sz="0" w:space="0" w:color="auto"/>
            <w:left w:val="none" w:sz="0" w:space="0" w:color="auto"/>
            <w:bottom w:val="none" w:sz="0" w:space="0" w:color="auto"/>
            <w:right w:val="none" w:sz="0" w:space="0" w:color="auto"/>
          </w:divBdr>
        </w:div>
        <w:div w:id="62795037">
          <w:marLeft w:val="0"/>
          <w:marRight w:val="0"/>
          <w:marTop w:val="0"/>
          <w:marBottom w:val="0"/>
          <w:divBdr>
            <w:top w:val="none" w:sz="0" w:space="0" w:color="auto"/>
            <w:left w:val="none" w:sz="0" w:space="0" w:color="auto"/>
            <w:bottom w:val="none" w:sz="0" w:space="0" w:color="auto"/>
            <w:right w:val="none" w:sz="0" w:space="0" w:color="auto"/>
          </w:divBdr>
        </w:div>
        <w:div w:id="1364751267">
          <w:marLeft w:val="0"/>
          <w:marRight w:val="0"/>
          <w:marTop w:val="0"/>
          <w:marBottom w:val="0"/>
          <w:divBdr>
            <w:top w:val="none" w:sz="0" w:space="0" w:color="auto"/>
            <w:left w:val="none" w:sz="0" w:space="0" w:color="auto"/>
            <w:bottom w:val="none" w:sz="0" w:space="0" w:color="auto"/>
            <w:right w:val="none" w:sz="0" w:space="0" w:color="auto"/>
          </w:divBdr>
        </w:div>
        <w:div w:id="1277256226">
          <w:marLeft w:val="0"/>
          <w:marRight w:val="0"/>
          <w:marTop w:val="0"/>
          <w:marBottom w:val="0"/>
          <w:divBdr>
            <w:top w:val="none" w:sz="0" w:space="0" w:color="auto"/>
            <w:left w:val="none" w:sz="0" w:space="0" w:color="auto"/>
            <w:bottom w:val="none" w:sz="0" w:space="0" w:color="auto"/>
            <w:right w:val="none" w:sz="0" w:space="0" w:color="auto"/>
          </w:divBdr>
        </w:div>
        <w:div w:id="1310593983">
          <w:marLeft w:val="0"/>
          <w:marRight w:val="0"/>
          <w:marTop w:val="0"/>
          <w:marBottom w:val="0"/>
          <w:divBdr>
            <w:top w:val="none" w:sz="0" w:space="0" w:color="auto"/>
            <w:left w:val="none" w:sz="0" w:space="0" w:color="auto"/>
            <w:bottom w:val="none" w:sz="0" w:space="0" w:color="auto"/>
            <w:right w:val="none" w:sz="0" w:space="0" w:color="auto"/>
          </w:divBdr>
        </w:div>
        <w:div w:id="91358553">
          <w:marLeft w:val="0"/>
          <w:marRight w:val="0"/>
          <w:marTop w:val="0"/>
          <w:marBottom w:val="0"/>
          <w:divBdr>
            <w:top w:val="none" w:sz="0" w:space="0" w:color="auto"/>
            <w:left w:val="none" w:sz="0" w:space="0" w:color="auto"/>
            <w:bottom w:val="none" w:sz="0" w:space="0" w:color="auto"/>
            <w:right w:val="none" w:sz="0" w:space="0" w:color="auto"/>
          </w:divBdr>
        </w:div>
        <w:div w:id="982126096">
          <w:marLeft w:val="0"/>
          <w:marRight w:val="0"/>
          <w:marTop w:val="0"/>
          <w:marBottom w:val="0"/>
          <w:divBdr>
            <w:top w:val="none" w:sz="0" w:space="0" w:color="auto"/>
            <w:left w:val="none" w:sz="0" w:space="0" w:color="auto"/>
            <w:bottom w:val="none" w:sz="0" w:space="0" w:color="auto"/>
            <w:right w:val="none" w:sz="0" w:space="0" w:color="auto"/>
          </w:divBdr>
        </w:div>
        <w:div w:id="220989252">
          <w:marLeft w:val="0"/>
          <w:marRight w:val="0"/>
          <w:marTop w:val="0"/>
          <w:marBottom w:val="0"/>
          <w:divBdr>
            <w:top w:val="none" w:sz="0" w:space="0" w:color="auto"/>
            <w:left w:val="none" w:sz="0" w:space="0" w:color="auto"/>
            <w:bottom w:val="none" w:sz="0" w:space="0" w:color="auto"/>
            <w:right w:val="none" w:sz="0" w:space="0" w:color="auto"/>
          </w:divBdr>
        </w:div>
        <w:div w:id="1427847351">
          <w:marLeft w:val="0"/>
          <w:marRight w:val="0"/>
          <w:marTop w:val="0"/>
          <w:marBottom w:val="0"/>
          <w:divBdr>
            <w:top w:val="none" w:sz="0" w:space="0" w:color="auto"/>
            <w:left w:val="none" w:sz="0" w:space="0" w:color="auto"/>
            <w:bottom w:val="none" w:sz="0" w:space="0" w:color="auto"/>
            <w:right w:val="none" w:sz="0" w:space="0" w:color="auto"/>
          </w:divBdr>
        </w:div>
        <w:div w:id="1544708035">
          <w:marLeft w:val="0"/>
          <w:marRight w:val="0"/>
          <w:marTop w:val="0"/>
          <w:marBottom w:val="0"/>
          <w:divBdr>
            <w:top w:val="none" w:sz="0" w:space="0" w:color="auto"/>
            <w:left w:val="none" w:sz="0" w:space="0" w:color="auto"/>
            <w:bottom w:val="none" w:sz="0" w:space="0" w:color="auto"/>
            <w:right w:val="none" w:sz="0" w:space="0" w:color="auto"/>
          </w:divBdr>
        </w:div>
        <w:div w:id="1459256637">
          <w:marLeft w:val="0"/>
          <w:marRight w:val="0"/>
          <w:marTop w:val="0"/>
          <w:marBottom w:val="0"/>
          <w:divBdr>
            <w:top w:val="none" w:sz="0" w:space="0" w:color="auto"/>
            <w:left w:val="none" w:sz="0" w:space="0" w:color="auto"/>
            <w:bottom w:val="none" w:sz="0" w:space="0" w:color="auto"/>
            <w:right w:val="none" w:sz="0" w:space="0" w:color="auto"/>
          </w:divBdr>
        </w:div>
        <w:div w:id="819275512">
          <w:marLeft w:val="0"/>
          <w:marRight w:val="0"/>
          <w:marTop w:val="0"/>
          <w:marBottom w:val="0"/>
          <w:divBdr>
            <w:top w:val="none" w:sz="0" w:space="0" w:color="auto"/>
            <w:left w:val="none" w:sz="0" w:space="0" w:color="auto"/>
            <w:bottom w:val="none" w:sz="0" w:space="0" w:color="auto"/>
            <w:right w:val="none" w:sz="0" w:space="0" w:color="auto"/>
          </w:divBdr>
        </w:div>
        <w:div w:id="20251709">
          <w:marLeft w:val="0"/>
          <w:marRight w:val="0"/>
          <w:marTop w:val="0"/>
          <w:marBottom w:val="0"/>
          <w:divBdr>
            <w:top w:val="none" w:sz="0" w:space="0" w:color="auto"/>
            <w:left w:val="none" w:sz="0" w:space="0" w:color="auto"/>
            <w:bottom w:val="none" w:sz="0" w:space="0" w:color="auto"/>
            <w:right w:val="none" w:sz="0" w:space="0" w:color="auto"/>
          </w:divBdr>
        </w:div>
        <w:div w:id="406534013">
          <w:marLeft w:val="0"/>
          <w:marRight w:val="0"/>
          <w:marTop w:val="0"/>
          <w:marBottom w:val="0"/>
          <w:divBdr>
            <w:top w:val="none" w:sz="0" w:space="0" w:color="auto"/>
            <w:left w:val="none" w:sz="0" w:space="0" w:color="auto"/>
            <w:bottom w:val="none" w:sz="0" w:space="0" w:color="auto"/>
            <w:right w:val="none" w:sz="0" w:space="0" w:color="auto"/>
          </w:divBdr>
        </w:div>
        <w:div w:id="1622375664">
          <w:marLeft w:val="0"/>
          <w:marRight w:val="0"/>
          <w:marTop w:val="0"/>
          <w:marBottom w:val="0"/>
          <w:divBdr>
            <w:top w:val="none" w:sz="0" w:space="0" w:color="auto"/>
            <w:left w:val="none" w:sz="0" w:space="0" w:color="auto"/>
            <w:bottom w:val="none" w:sz="0" w:space="0" w:color="auto"/>
            <w:right w:val="none" w:sz="0" w:space="0" w:color="auto"/>
          </w:divBdr>
        </w:div>
        <w:div w:id="863321467">
          <w:marLeft w:val="0"/>
          <w:marRight w:val="0"/>
          <w:marTop w:val="0"/>
          <w:marBottom w:val="0"/>
          <w:divBdr>
            <w:top w:val="none" w:sz="0" w:space="0" w:color="auto"/>
            <w:left w:val="none" w:sz="0" w:space="0" w:color="auto"/>
            <w:bottom w:val="none" w:sz="0" w:space="0" w:color="auto"/>
            <w:right w:val="none" w:sz="0" w:space="0" w:color="auto"/>
          </w:divBdr>
        </w:div>
        <w:div w:id="950942691">
          <w:marLeft w:val="0"/>
          <w:marRight w:val="0"/>
          <w:marTop w:val="0"/>
          <w:marBottom w:val="0"/>
          <w:divBdr>
            <w:top w:val="none" w:sz="0" w:space="0" w:color="auto"/>
            <w:left w:val="none" w:sz="0" w:space="0" w:color="auto"/>
            <w:bottom w:val="none" w:sz="0" w:space="0" w:color="auto"/>
            <w:right w:val="none" w:sz="0" w:space="0" w:color="auto"/>
          </w:divBdr>
        </w:div>
        <w:div w:id="475416605">
          <w:marLeft w:val="0"/>
          <w:marRight w:val="0"/>
          <w:marTop w:val="0"/>
          <w:marBottom w:val="0"/>
          <w:divBdr>
            <w:top w:val="none" w:sz="0" w:space="0" w:color="auto"/>
            <w:left w:val="none" w:sz="0" w:space="0" w:color="auto"/>
            <w:bottom w:val="none" w:sz="0" w:space="0" w:color="auto"/>
            <w:right w:val="none" w:sz="0" w:space="0" w:color="auto"/>
          </w:divBdr>
        </w:div>
        <w:div w:id="189219230">
          <w:marLeft w:val="0"/>
          <w:marRight w:val="0"/>
          <w:marTop w:val="0"/>
          <w:marBottom w:val="0"/>
          <w:divBdr>
            <w:top w:val="none" w:sz="0" w:space="0" w:color="auto"/>
            <w:left w:val="none" w:sz="0" w:space="0" w:color="auto"/>
            <w:bottom w:val="none" w:sz="0" w:space="0" w:color="auto"/>
            <w:right w:val="none" w:sz="0" w:space="0" w:color="auto"/>
          </w:divBdr>
        </w:div>
        <w:div w:id="1765413615">
          <w:marLeft w:val="0"/>
          <w:marRight w:val="0"/>
          <w:marTop w:val="0"/>
          <w:marBottom w:val="0"/>
          <w:divBdr>
            <w:top w:val="none" w:sz="0" w:space="0" w:color="auto"/>
            <w:left w:val="none" w:sz="0" w:space="0" w:color="auto"/>
            <w:bottom w:val="none" w:sz="0" w:space="0" w:color="auto"/>
            <w:right w:val="none" w:sz="0" w:space="0" w:color="auto"/>
          </w:divBdr>
        </w:div>
        <w:div w:id="1610233530">
          <w:marLeft w:val="0"/>
          <w:marRight w:val="0"/>
          <w:marTop w:val="0"/>
          <w:marBottom w:val="0"/>
          <w:divBdr>
            <w:top w:val="none" w:sz="0" w:space="0" w:color="auto"/>
            <w:left w:val="none" w:sz="0" w:space="0" w:color="auto"/>
            <w:bottom w:val="none" w:sz="0" w:space="0" w:color="auto"/>
            <w:right w:val="none" w:sz="0" w:space="0" w:color="auto"/>
          </w:divBdr>
        </w:div>
        <w:div w:id="506017218">
          <w:marLeft w:val="0"/>
          <w:marRight w:val="0"/>
          <w:marTop w:val="0"/>
          <w:marBottom w:val="0"/>
          <w:divBdr>
            <w:top w:val="none" w:sz="0" w:space="0" w:color="auto"/>
            <w:left w:val="none" w:sz="0" w:space="0" w:color="auto"/>
            <w:bottom w:val="none" w:sz="0" w:space="0" w:color="auto"/>
            <w:right w:val="none" w:sz="0" w:space="0" w:color="auto"/>
          </w:divBdr>
        </w:div>
        <w:div w:id="2057076043">
          <w:marLeft w:val="0"/>
          <w:marRight w:val="0"/>
          <w:marTop w:val="0"/>
          <w:marBottom w:val="0"/>
          <w:divBdr>
            <w:top w:val="none" w:sz="0" w:space="0" w:color="auto"/>
            <w:left w:val="none" w:sz="0" w:space="0" w:color="auto"/>
            <w:bottom w:val="none" w:sz="0" w:space="0" w:color="auto"/>
            <w:right w:val="none" w:sz="0" w:space="0" w:color="auto"/>
          </w:divBdr>
        </w:div>
        <w:div w:id="1477797234">
          <w:marLeft w:val="0"/>
          <w:marRight w:val="0"/>
          <w:marTop w:val="0"/>
          <w:marBottom w:val="0"/>
          <w:divBdr>
            <w:top w:val="none" w:sz="0" w:space="0" w:color="auto"/>
            <w:left w:val="none" w:sz="0" w:space="0" w:color="auto"/>
            <w:bottom w:val="none" w:sz="0" w:space="0" w:color="auto"/>
            <w:right w:val="none" w:sz="0" w:space="0" w:color="auto"/>
          </w:divBdr>
        </w:div>
        <w:div w:id="1711374195">
          <w:marLeft w:val="0"/>
          <w:marRight w:val="0"/>
          <w:marTop w:val="0"/>
          <w:marBottom w:val="0"/>
          <w:divBdr>
            <w:top w:val="none" w:sz="0" w:space="0" w:color="auto"/>
            <w:left w:val="none" w:sz="0" w:space="0" w:color="auto"/>
            <w:bottom w:val="none" w:sz="0" w:space="0" w:color="auto"/>
            <w:right w:val="none" w:sz="0" w:space="0" w:color="auto"/>
          </w:divBdr>
        </w:div>
        <w:div w:id="38164722">
          <w:marLeft w:val="0"/>
          <w:marRight w:val="0"/>
          <w:marTop w:val="0"/>
          <w:marBottom w:val="0"/>
          <w:divBdr>
            <w:top w:val="none" w:sz="0" w:space="0" w:color="auto"/>
            <w:left w:val="none" w:sz="0" w:space="0" w:color="auto"/>
            <w:bottom w:val="none" w:sz="0" w:space="0" w:color="auto"/>
            <w:right w:val="none" w:sz="0" w:space="0" w:color="auto"/>
          </w:divBdr>
        </w:div>
        <w:div w:id="1359700505">
          <w:marLeft w:val="0"/>
          <w:marRight w:val="0"/>
          <w:marTop w:val="0"/>
          <w:marBottom w:val="0"/>
          <w:divBdr>
            <w:top w:val="none" w:sz="0" w:space="0" w:color="auto"/>
            <w:left w:val="none" w:sz="0" w:space="0" w:color="auto"/>
            <w:bottom w:val="none" w:sz="0" w:space="0" w:color="auto"/>
            <w:right w:val="none" w:sz="0" w:space="0" w:color="auto"/>
          </w:divBdr>
        </w:div>
        <w:div w:id="183642665">
          <w:marLeft w:val="0"/>
          <w:marRight w:val="0"/>
          <w:marTop w:val="0"/>
          <w:marBottom w:val="0"/>
          <w:divBdr>
            <w:top w:val="none" w:sz="0" w:space="0" w:color="auto"/>
            <w:left w:val="none" w:sz="0" w:space="0" w:color="auto"/>
            <w:bottom w:val="none" w:sz="0" w:space="0" w:color="auto"/>
            <w:right w:val="none" w:sz="0" w:space="0" w:color="auto"/>
          </w:divBdr>
        </w:div>
        <w:div w:id="1824080868">
          <w:marLeft w:val="0"/>
          <w:marRight w:val="0"/>
          <w:marTop w:val="0"/>
          <w:marBottom w:val="0"/>
          <w:divBdr>
            <w:top w:val="none" w:sz="0" w:space="0" w:color="auto"/>
            <w:left w:val="none" w:sz="0" w:space="0" w:color="auto"/>
            <w:bottom w:val="none" w:sz="0" w:space="0" w:color="auto"/>
            <w:right w:val="none" w:sz="0" w:space="0" w:color="auto"/>
          </w:divBdr>
        </w:div>
        <w:div w:id="402410714">
          <w:marLeft w:val="0"/>
          <w:marRight w:val="0"/>
          <w:marTop w:val="0"/>
          <w:marBottom w:val="0"/>
          <w:divBdr>
            <w:top w:val="none" w:sz="0" w:space="0" w:color="auto"/>
            <w:left w:val="none" w:sz="0" w:space="0" w:color="auto"/>
            <w:bottom w:val="none" w:sz="0" w:space="0" w:color="auto"/>
            <w:right w:val="none" w:sz="0" w:space="0" w:color="auto"/>
          </w:divBdr>
        </w:div>
        <w:div w:id="1917738748">
          <w:marLeft w:val="0"/>
          <w:marRight w:val="0"/>
          <w:marTop w:val="0"/>
          <w:marBottom w:val="0"/>
          <w:divBdr>
            <w:top w:val="none" w:sz="0" w:space="0" w:color="auto"/>
            <w:left w:val="none" w:sz="0" w:space="0" w:color="auto"/>
            <w:bottom w:val="none" w:sz="0" w:space="0" w:color="auto"/>
            <w:right w:val="none" w:sz="0" w:space="0" w:color="auto"/>
          </w:divBdr>
        </w:div>
        <w:div w:id="28579730">
          <w:marLeft w:val="0"/>
          <w:marRight w:val="0"/>
          <w:marTop w:val="0"/>
          <w:marBottom w:val="0"/>
          <w:divBdr>
            <w:top w:val="none" w:sz="0" w:space="0" w:color="auto"/>
            <w:left w:val="none" w:sz="0" w:space="0" w:color="auto"/>
            <w:bottom w:val="none" w:sz="0" w:space="0" w:color="auto"/>
            <w:right w:val="none" w:sz="0" w:space="0" w:color="auto"/>
          </w:divBdr>
        </w:div>
        <w:div w:id="1049190044">
          <w:marLeft w:val="0"/>
          <w:marRight w:val="0"/>
          <w:marTop w:val="0"/>
          <w:marBottom w:val="0"/>
          <w:divBdr>
            <w:top w:val="none" w:sz="0" w:space="0" w:color="auto"/>
            <w:left w:val="none" w:sz="0" w:space="0" w:color="auto"/>
            <w:bottom w:val="none" w:sz="0" w:space="0" w:color="auto"/>
            <w:right w:val="none" w:sz="0" w:space="0" w:color="auto"/>
          </w:divBdr>
        </w:div>
        <w:div w:id="655380235">
          <w:marLeft w:val="0"/>
          <w:marRight w:val="0"/>
          <w:marTop w:val="0"/>
          <w:marBottom w:val="0"/>
          <w:divBdr>
            <w:top w:val="none" w:sz="0" w:space="0" w:color="auto"/>
            <w:left w:val="none" w:sz="0" w:space="0" w:color="auto"/>
            <w:bottom w:val="none" w:sz="0" w:space="0" w:color="auto"/>
            <w:right w:val="none" w:sz="0" w:space="0" w:color="auto"/>
          </w:divBdr>
        </w:div>
        <w:div w:id="1766414388">
          <w:marLeft w:val="0"/>
          <w:marRight w:val="0"/>
          <w:marTop w:val="0"/>
          <w:marBottom w:val="0"/>
          <w:divBdr>
            <w:top w:val="none" w:sz="0" w:space="0" w:color="auto"/>
            <w:left w:val="none" w:sz="0" w:space="0" w:color="auto"/>
            <w:bottom w:val="none" w:sz="0" w:space="0" w:color="auto"/>
            <w:right w:val="none" w:sz="0" w:space="0" w:color="auto"/>
          </w:divBdr>
        </w:div>
        <w:div w:id="1461413668">
          <w:marLeft w:val="0"/>
          <w:marRight w:val="0"/>
          <w:marTop w:val="0"/>
          <w:marBottom w:val="0"/>
          <w:divBdr>
            <w:top w:val="none" w:sz="0" w:space="0" w:color="auto"/>
            <w:left w:val="none" w:sz="0" w:space="0" w:color="auto"/>
            <w:bottom w:val="none" w:sz="0" w:space="0" w:color="auto"/>
            <w:right w:val="none" w:sz="0" w:space="0" w:color="auto"/>
          </w:divBdr>
        </w:div>
        <w:div w:id="1830945046">
          <w:marLeft w:val="0"/>
          <w:marRight w:val="0"/>
          <w:marTop w:val="0"/>
          <w:marBottom w:val="0"/>
          <w:divBdr>
            <w:top w:val="none" w:sz="0" w:space="0" w:color="auto"/>
            <w:left w:val="none" w:sz="0" w:space="0" w:color="auto"/>
            <w:bottom w:val="none" w:sz="0" w:space="0" w:color="auto"/>
            <w:right w:val="none" w:sz="0" w:space="0" w:color="auto"/>
          </w:divBdr>
        </w:div>
        <w:div w:id="615141419">
          <w:marLeft w:val="0"/>
          <w:marRight w:val="0"/>
          <w:marTop w:val="0"/>
          <w:marBottom w:val="0"/>
          <w:divBdr>
            <w:top w:val="none" w:sz="0" w:space="0" w:color="auto"/>
            <w:left w:val="none" w:sz="0" w:space="0" w:color="auto"/>
            <w:bottom w:val="none" w:sz="0" w:space="0" w:color="auto"/>
            <w:right w:val="none" w:sz="0" w:space="0" w:color="auto"/>
          </w:divBdr>
        </w:div>
        <w:div w:id="328140195">
          <w:marLeft w:val="0"/>
          <w:marRight w:val="0"/>
          <w:marTop w:val="0"/>
          <w:marBottom w:val="0"/>
          <w:divBdr>
            <w:top w:val="none" w:sz="0" w:space="0" w:color="auto"/>
            <w:left w:val="none" w:sz="0" w:space="0" w:color="auto"/>
            <w:bottom w:val="none" w:sz="0" w:space="0" w:color="auto"/>
            <w:right w:val="none" w:sz="0" w:space="0" w:color="auto"/>
          </w:divBdr>
        </w:div>
        <w:div w:id="1143083914">
          <w:marLeft w:val="0"/>
          <w:marRight w:val="0"/>
          <w:marTop w:val="0"/>
          <w:marBottom w:val="0"/>
          <w:divBdr>
            <w:top w:val="none" w:sz="0" w:space="0" w:color="auto"/>
            <w:left w:val="none" w:sz="0" w:space="0" w:color="auto"/>
            <w:bottom w:val="none" w:sz="0" w:space="0" w:color="auto"/>
            <w:right w:val="none" w:sz="0" w:space="0" w:color="auto"/>
          </w:divBdr>
        </w:div>
        <w:div w:id="333339014">
          <w:marLeft w:val="0"/>
          <w:marRight w:val="0"/>
          <w:marTop w:val="0"/>
          <w:marBottom w:val="0"/>
          <w:divBdr>
            <w:top w:val="none" w:sz="0" w:space="0" w:color="auto"/>
            <w:left w:val="none" w:sz="0" w:space="0" w:color="auto"/>
            <w:bottom w:val="none" w:sz="0" w:space="0" w:color="auto"/>
            <w:right w:val="none" w:sz="0" w:space="0" w:color="auto"/>
          </w:divBdr>
        </w:div>
        <w:div w:id="244076877">
          <w:marLeft w:val="0"/>
          <w:marRight w:val="0"/>
          <w:marTop w:val="0"/>
          <w:marBottom w:val="0"/>
          <w:divBdr>
            <w:top w:val="none" w:sz="0" w:space="0" w:color="auto"/>
            <w:left w:val="none" w:sz="0" w:space="0" w:color="auto"/>
            <w:bottom w:val="none" w:sz="0" w:space="0" w:color="auto"/>
            <w:right w:val="none" w:sz="0" w:space="0" w:color="auto"/>
          </w:divBdr>
        </w:div>
        <w:div w:id="305205287">
          <w:marLeft w:val="0"/>
          <w:marRight w:val="0"/>
          <w:marTop w:val="0"/>
          <w:marBottom w:val="0"/>
          <w:divBdr>
            <w:top w:val="none" w:sz="0" w:space="0" w:color="auto"/>
            <w:left w:val="none" w:sz="0" w:space="0" w:color="auto"/>
            <w:bottom w:val="none" w:sz="0" w:space="0" w:color="auto"/>
            <w:right w:val="none" w:sz="0" w:space="0" w:color="auto"/>
          </w:divBdr>
        </w:div>
        <w:div w:id="984043452">
          <w:marLeft w:val="0"/>
          <w:marRight w:val="0"/>
          <w:marTop w:val="0"/>
          <w:marBottom w:val="0"/>
          <w:divBdr>
            <w:top w:val="none" w:sz="0" w:space="0" w:color="auto"/>
            <w:left w:val="none" w:sz="0" w:space="0" w:color="auto"/>
            <w:bottom w:val="none" w:sz="0" w:space="0" w:color="auto"/>
            <w:right w:val="none" w:sz="0" w:space="0" w:color="auto"/>
          </w:divBdr>
        </w:div>
        <w:div w:id="201287657">
          <w:marLeft w:val="0"/>
          <w:marRight w:val="0"/>
          <w:marTop w:val="0"/>
          <w:marBottom w:val="0"/>
          <w:divBdr>
            <w:top w:val="none" w:sz="0" w:space="0" w:color="auto"/>
            <w:left w:val="none" w:sz="0" w:space="0" w:color="auto"/>
            <w:bottom w:val="none" w:sz="0" w:space="0" w:color="auto"/>
            <w:right w:val="none" w:sz="0" w:space="0" w:color="auto"/>
          </w:divBdr>
        </w:div>
        <w:div w:id="2065177461">
          <w:marLeft w:val="0"/>
          <w:marRight w:val="0"/>
          <w:marTop w:val="0"/>
          <w:marBottom w:val="0"/>
          <w:divBdr>
            <w:top w:val="none" w:sz="0" w:space="0" w:color="auto"/>
            <w:left w:val="none" w:sz="0" w:space="0" w:color="auto"/>
            <w:bottom w:val="none" w:sz="0" w:space="0" w:color="auto"/>
            <w:right w:val="none" w:sz="0" w:space="0" w:color="auto"/>
          </w:divBdr>
        </w:div>
        <w:div w:id="1898006139">
          <w:marLeft w:val="0"/>
          <w:marRight w:val="0"/>
          <w:marTop w:val="0"/>
          <w:marBottom w:val="0"/>
          <w:divBdr>
            <w:top w:val="none" w:sz="0" w:space="0" w:color="auto"/>
            <w:left w:val="none" w:sz="0" w:space="0" w:color="auto"/>
            <w:bottom w:val="none" w:sz="0" w:space="0" w:color="auto"/>
            <w:right w:val="none" w:sz="0" w:space="0" w:color="auto"/>
          </w:divBdr>
        </w:div>
        <w:div w:id="1752462895">
          <w:marLeft w:val="0"/>
          <w:marRight w:val="0"/>
          <w:marTop w:val="0"/>
          <w:marBottom w:val="0"/>
          <w:divBdr>
            <w:top w:val="none" w:sz="0" w:space="0" w:color="auto"/>
            <w:left w:val="none" w:sz="0" w:space="0" w:color="auto"/>
            <w:bottom w:val="none" w:sz="0" w:space="0" w:color="auto"/>
            <w:right w:val="none" w:sz="0" w:space="0" w:color="auto"/>
          </w:divBdr>
        </w:div>
        <w:div w:id="70736015">
          <w:marLeft w:val="0"/>
          <w:marRight w:val="0"/>
          <w:marTop w:val="0"/>
          <w:marBottom w:val="0"/>
          <w:divBdr>
            <w:top w:val="none" w:sz="0" w:space="0" w:color="auto"/>
            <w:left w:val="none" w:sz="0" w:space="0" w:color="auto"/>
            <w:bottom w:val="none" w:sz="0" w:space="0" w:color="auto"/>
            <w:right w:val="none" w:sz="0" w:space="0" w:color="auto"/>
          </w:divBdr>
        </w:div>
        <w:div w:id="432867469">
          <w:marLeft w:val="0"/>
          <w:marRight w:val="0"/>
          <w:marTop w:val="0"/>
          <w:marBottom w:val="0"/>
          <w:divBdr>
            <w:top w:val="none" w:sz="0" w:space="0" w:color="auto"/>
            <w:left w:val="none" w:sz="0" w:space="0" w:color="auto"/>
            <w:bottom w:val="none" w:sz="0" w:space="0" w:color="auto"/>
            <w:right w:val="none" w:sz="0" w:space="0" w:color="auto"/>
          </w:divBdr>
        </w:div>
        <w:div w:id="95515748">
          <w:marLeft w:val="0"/>
          <w:marRight w:val="0"/>
          <w:marTop w:val="0"/>
          <w:marBottom w:val="0"/>
          <w:divBdr>
            <w:top w:val="none" w:sz="0" w:space="0" w:color="auto"/>
            <w:left w:val="none" w:sz="0" w:space="0" w:color="auto"/>
            <w:bottom w:val="none" w:sz="0" w:space="0" w:color="auto"/>
            <w:right w:val="none" w:sz="0" w:space="0" w:color="auto"/>
          </w:divBdr>
        </w:div>
        <w:div w:id="1294407212">
          <w:marLeft w:val="0"/>
          <w:marRight w:val="0"/>
          <w:marTop w:val="0"/>
          <w:marBottom w:val="0"/>
          <w:divBdr>
            <w:top w:val="none" w:sz="0" w:space="0" w:color="auto"/>
            <w:left w:val="none" w:sz="0" w:space="0" w:color="auto"/>
            <w:bottom w:val="none" w:sz="0" w:space="0" w:color="auto"/>
            <w:right w:val="none" w:sz="0" w:space="0" w:color="auto"/>
          </w:divBdr>
        </w:div>
        <w:div w:id="386147912">
          <w:marLeft w:val="0"/>
          <w:marRight w:val="0"/>
          <w:marTop w:val="0"/>
          <w:marBottom w:val="0"/>
          <w:divBdr>
            <w:top w:val="none" w:sz="0" w:space="0" w:color="auto"/>
            <w:left w:val="none" w:sz="0" w:space="0" w:color="auto"/>
            <w:bottom w:val="none" w:sz="0" w:space="0" w:color="auto"/>
            <w:right w:val="none" w:sz="0" w:space="0" w:color="auto"/>
          </w:divBdr>
        </w:div>
        <w:div w:id="902760025">
          <w:marLeft w:val="0"/>
          <w:marRight w:val="0"/>
          <w:marTop w:val="0"/>
          <w:marBottom w:val="0"/>
          <w:divBdr>
            <w:top w:val="none" w:sz="0" w:space="0" w:color="auto"/>
            <w:left w:val="none" w:sz="0" w:space="0" w:color="auto"/>
            <w:bottom w:val="none" w:sz="0" w:space="0" w:color="auto"/>
            <w:right w:val="none" w:sz="0" w:space="0" w:color="auto"/>
          </w:divBdr>
        </w:div>
      </w:divsChild>
    </w:div>
    <w:div w:id="413477704">
      <w:bodyDiv w:val="1"/>
      <w:marLeft w:val="0"/>
      <w:marRight w:val="0"/>
      <w:marTop w:val="0"/>
      <w:marBottom w:val="0"/>
      <w:divBdr>
        <w:top w:val="none" w:sz="0" w:space="0" w:color="auto"/>
        <w:left w:val="none" w:sz="0" w:space="0" w:color="auto"/>
        <w:bottom w:val="none" w:sz="0" w:space="0" w:color="auto"/>
        <w:right w:val="none" w:sz="0" w:space="0" w:color="auto"/>
      </w:divBdr>
      <w:divsChild>
        <w:div w:id="1438669879">
          <w:marLeft w:val="0"/>
          <w:marRight w:val="0"/>
          <w:marTop w:val="0"/>
          <w:marBottom w:val="0"/>
          <w:divBdr>
            <w:top w:val="none" w:sz="0" w:space="0" w:color="auto"/>
            <w:left w:val="none" w:sz="0" w:space="0" w:color="auto"/>
            <w:bottom w:val="none" w:sz="0" w:space="0" w:color="auto"/>
            <w:right w:val="none" w:sz="0" w:space="0" w:color="auto"/>
          </w:divBdr>
        </w:div>
        <w:div w:id="1116869765">
          <w:marLeft w:val="0"/>
          <w:marRight w:val="0"/>
          <w:marTop w:val="0"/>
          <w:marBottom w:val="0"/>
          <w:divBdr>
            <w:top w:val="none" w:sz="0" w:space="0" w:color="auto"/>
            <w:left w:val="none" w:sz="0" w:space="0" w:color="auto"/>
            <w:bottom w:val="none" w:sz="0" w:space="0" w:color="auto"/>
            <w:right w:val="none" w:sz="0" w:space="0" w:color="auto"/>
          </w:divBdr>
        </w:div>
        <w:div w:id="973561642">
          <w:marLeft w:val="0"/>
          <w:marRight w:val="0"/>
          <w:marTop w:val="0"/>
          <w:marBottom w:val="0"/>
          <w:divBdr>
            <w:top w:val="none" w:sz="0" w:space="0" w:color="auto"/>
            <w:left w:val="none" w:sz="0" w:space="0" w:color="auto"/>
            <w:bottom w:val="none" w:sz="0" w:space="0" w:color="auto"/>
            <w:right w:val="none" w:sz="0" w:space="0" w:color="auto"/>
          </w:divBdr>
        </w:div>
        <w:div w:id="1734808868">
          <w:marLeft w:val="0"/>
          <w:marRight w:val="0"/>
          <w:marTop w:val="0"/>
          <w:marBottom w:val="0"/>
          <w:divBdr>
            <w:top w:val="none" w:sz="0" w:space="0" w:color="auto"/>
            <w:left w:val="none" w:sz="0" w:space="0" w:color="auto"/>
            <w:bottom w:val="none" w:sz="0" w:space="0" w:color="auto"/>
            <w:right w:val="none" w:sz="0" w:space="0" w:color="auto"/>
          </w:divBdr>
        </w:div>
        <w:div w:id="458381915">
          <w:marLeft w:val="0"/>
          <w:marRight w:val="0"/>
          <w:marTop w:val="0"/>
          <w:marBottom w:val="0"/>
          <w:divBdr>
            <w:top w:val="none" w:sz="0" w:space="0" w:color="auto"/>
            <w:left w:val="none" w:sz="0" w:space="0" w:color="auto"/>
            <w:bottom w:val="none" w:sz="0" w:space="0" w:color="auto"/>
            <w:right w:val="none" w:sz="0" w:space="0" w:color="auto"/>
          </w:divBdr>
        </w:div>
        <w:div w:id="93791041">
          <w:marLeft w:val="0"/>
          <w:marRight w:val="0"/>
          <w:marTop w:val="0"/>
          <w:marBottom w:val="0"/>
          <w:divBdr>
            <w:top w:val="none" w:sz="0" w:space="0" w:color="auto"/>
            <w:left w:val="none" w:sz="0" w:space="0" w:color="auto"/>
            <w:bottom w:val="none" w:sz="0" w:space="0" w:color="auto"/>
            <w:right w:val="none" w:sz="0" w:space="0" w:color="auto"/>
          </w:divBdr>
        </w:div>
      </w:divsChild>
    </w:div>
    <w:div w:id="641930961">
      <w:bodyDiv w:val="1"/>
      <w:marLeft w:val="0"/>
      <w:marRight w:val="0"/>
      <w:marTop w:val="0"/>
      <w:marBottom w:val="0"/>
      <w:divBdr>
        <w:top w:val="none" w:sz="0" w:space="0" w:color="auto"/>
        <w:left w:val="none" w:sz="0" w:space="0" w:color="auto"/>
        <w:bottom w:val="none" w:sz="0" w:space="0" w:color="auto"/>
        <w:right w:val="none" w:sz="0" w:space="0" w:color="auto"/>
      </w:divBdr>
      <w:divsChild>
        <w:div w:id="1614553527">
          <w:marLeft w:val="0"/>
          <w:marRight w:val="0"/>
          <w:marTop w:val="0"/>
          <w:marBottom w:val="0"/>
          <w:divBdr>
            <w:top w:val="none" w:sz="0" w:space="0" w:color="auto"/>
            <w:left w:val="none" w:sz="0" w:space="0" w:color="auto"/>
            <w:bottom w:val="none" w:sz="0" w:space="0" w:color="auto"/>
            <w:right w:val="none" w:sz="0" w:space="0" w:color="auto"/>
          </w:divBdr>
        </w:div>
        <w:div w:id="2102289002">
          <w:marLeft w:val="0"/>
          <w:marRight w:val="0"/>
          <w:marTop w:val="0"/>
          <w:marBottom w:val="0"/>
          <w:divBdr>
            <w:top w:val="none" w:sz="0" w:space="0" w:color="auto"/>
            <w:left w:val="none" w:sz="0" w:space="0" w:color="auto"/>
            <w:bottom w:val="none" w:sz="0" w:space="0" w:color="auto"/>
            <w:right w:val="none" w:sz="0" w:space="0" w:color="auto"/>
          </w:divBdr>
        </w:div>
      </w:divsChild>
    </w:div>
    <w:div w:id="656609412">
      <w:bodyDiv w:val="1"/>
      <w:marLeft w:val="0"/>
      <w:marRight w:val="0"/>
      <w:marTop w:val="0"/>
      <w:marBottom w:val="0"/>
      <w:divBdr>
        <w:top w:val="none" w:sz="0" w:space="0" w:color="auto"/>
        <w:left w:val="none" w:sz="0" w:space="0" w:color="auto"/>
        <w:bottom w:val="none" w:sz="0" w:space="0" w:color="auto"/>
        <w:right w:val="none" w:sz="0" w:space="0" w:color="auto"/>
      </w:divBdr>
      <w:divsChild>
        <w:div w:id="438061700">
          <w:marLeft w:val="0"/>
          <w:marRight w:val="0"/>
          <w:marTop w:val="0"/>
          <w:marBottom w:val="0"/>
          <w:divBdr>
            <w:top w:val="none" w:sz="0" w:space="0" w:color="auto"/>
            <w:left w:val="none" w:sz="0" w:space="0" w:color="auto"/>
            <w:bottom w:val="none" w:sz="0" w:space="0" w:color="auto"/>
            <w:right w:val="none" w:sz="0" w:space="0" w:color="auto"/>
          </w:divBdr>
        </w:div>
        <w:div w:id="1116214041">
          <w:marLeft w:val="0"/>
          <w:marRight w:val="0"/>
          <w:marTop w:val="0"/>
          <w:marBottom w:val="0"/>
          <w:divBdr>
            <w:top w:val="none" w:sz="0" w:space="0" w:color="auto"/>
            <w:left w:val="none" w:sz="0" w:space="0" w:color="auto"/>
            <w:bottom w:val="none" w:sz="0" w:space="0" w:color="auto"/>
            <w:right w:val="none" w:sz="0" w:space="0" w:color="auto"/>
          </w:divBdr>
        </w:div>
        <w:div w:id="1015041310">
          <w:marLeft w:val="0"/>
          <w:marRight w:val="0"/>
          <w:marTop w:val="0"/>
          <w:marBottom w:val="0"/>
          <w:divBdr>
            <w:top w:val="none" w:sz="0" w:space="0" w:color="auto"/>
            <w:left w:val="none" w:sz="0" w:space="0" w:color="auto"/>
            <w:bottom w:val="none" w:sz="0" w:space="0" w:color="auto"/>
            <w:right w:val="none" w:sz="0" w:space="0" w:color="auto"/>
          </w:divBdr>
        </w:div>
        <w:div w:id="249242803">
          <w:marLeft w:val="0"/>
          <w:marRight w:val="0"/>
          <w:marTop w:val="0"/>
          <w:marBottom w:val="0"/>
          <w:divBdr>
            <w:top w:val="none" w:sz="0" w:space="0" w:color="auto"/>
            <w:left w:val="none" w:sz="0" w:space="0" w:color="auto"/>
            <w:bottom w:val="none" w:sz="0" w:space="0" w:color="auto"/>
            <w:right w:val="none" w:sz="0" w:space="0" w:color="auto"/>
          </w:divBdr>
        </w:div>
        <w:div w:id="1810509931">
          <w:marLeft w:val="0"/>
          <w:marRight w:val="0"/>
          <w:marTop w:val="0"/>
          <w:marBottom w:val="0"/>
          <w:divBdr>
            <w:top w:val="none" w:sz="0" w:space="0" w:color="auto"/>
            <w:left w:val="none" w:sz="0" w:space="0" w:color="auto"/>
            <w:bottom w:val="none" w:sz="0" w:space="0" w:color="auto"/>
            <w:right w:val="none" w:sz="0" w:space="0" w:color="auto"/>
          </w:divBdr>
        </w:div>
        <w:div w:id="2146661321">
          <w:marLeft w:val="0"/>
          <w:marRight w:val="0"/>
          <w:marTop w:val="0"/>
          <w:marBottom w:val="0"/>
          <w:divBdr>
            <w:top w:val="none" w:sz="0" w:space="0" w:color="auto"/>
            <w:left w:val="none" w:sz="0" w:space="0" w:color="auto"/>
            <w:bottom w:val="none" w:sz="0" w:space="0" w:color="auto"/>
            <w:right w:val="none" w:sz="0" w:space="0" w:color="auto"/>
          </w:divBdr>
        </w:div>
        <w:div w:id="167258193">
          <w:marLeft w:val="0"/>
          <w:marRight w:val="0"/>
          <w:marTop w:val="0"/>
          <w:marBottom w:val="0"/>
          <w:divBdr>
            <w:top w:val="none" w:sz="0" w:space="0" w:color="auto"/>
            <w:left w:val="none" w:sz="0" w:space="0" w:color="auto"/>
            <w:bottom w:val="none" w:sz="0" w:space="0" w:color="auto"/>
            <w:right w:val="none" w:sz="0" w:space="0" w:color="auto"/>
          </w:divBdr>
        </w:div>
        <w:div w:id="1142697120">
          <w:marLeft w:val="0"/>
          <w:marRight w:val="0"/>
          <w:marTop w:val="0"/>
          <w:marBottom w:val="0"/>
          <w:divBdr>
            <w:top w:val="none" w:sz="0" w:space="0" w:color="auto"/>
            <w:left w:val="none" w:sz="0" w:space="0" w:color="auto"/>
            <w:bottom w:val="none" w:sz="0" w:space="0" w:color="auto"/>
            <w:right w:val="none" w:sz="0" w:space="0" w:color="auto"/>
          </w:divBdr>
        </w:div>
        <w:div w:id="441532543">
          <w:marLeft w:val="0"/>
          <w:marRight w:val="0"/>
          <w:marTop w:val="0"/>
          <w:marBottom w:val="0"/>
          <w:divBdr>
            <w:top w:val="none" w:sz="0" w:space="0" w:color="auto"/>
            <w:left w:val="none" w:sz="0" w:space="0" w:color="auto"/>
            <w:bottom w:val="none" w:sz="0" w:space="0" w:color="auto"/>
            <w:right w:val="none" w:sz="0" w:space="0" w:color="auto"/>
          </w:divBdr>
        </w:div>
        <w:div w:id="1945990206">
          <w:marLeft w:val="0"/>
          <w:marRight w:val="0"/>
          <w:marTop w:val="0"/>
          <w:marBottom w:val="0"/>
          <w:divBdr>
            <w:top w:val="none" w:sz="0" w:space="0" w:color="auto"/>
            <w:left w:val="none" w:sz="0" w:space="0" w:color="auto"/>
            <w:bottom w:val="none" w:sz="0" w:space="0" w:color="auto"/>
            <w:right w:val="none" w:sz="0" w:space="0" w:color="auto"/>
          </w:divBdr>
        </w:div>
        <w:div w:id="430706800">
          <w:marLeft w:val="0"/>
          <w:marRight w:val="0"/>
          <w:marTop w:val="0"/>
          <w:marBottom w:val="0"/>
          <w:divBdr>
            <w:top w:val="none" w:sz="0" w:space="0" w:color="auto"/>
            <w:left w:val="none" w:sz="0" w:space="0" w:color="auto"/>
            <w:bottom w:val="none" w:sz="0" w:space="0" w:color="auto"/>
            <w:right w:val="none" w:sz="0" w:space="0" w:color="auto"/>
          </w:divBdr>
        </w:div>
        <w:div w:id="463278742">
          <w:marLeft w:val="0"/>
          <w:marRight w:val="0"/>
          <w:marTop w:val="0"/>
          <w:marBottom w:val="0"/>
          <w:divBdr>
            <w:top w:val="none" w:sz="0" w:space="0" w:color="auto"/>
            <w:left w:val="none" w:sz="0" w:space="0" w:color="auto"/>
            <w:bottom w:val="none" w:sz="0" w:space="0" w:color="auto"/>
            <w:right w:val="none" w:sz="0" w:space="0" w:color="auto"/>
          </w:divBdr>
        </w:div>
        <w:div w:id="353967989">
          <w:marLeft w:val="0"/>
          <w:marRight w:val="0"/>
          <w:marTop w:val="0"/>
          <w:marBottom w:val="0"/>
          <w:divBdr>
            <w:top w:val="none" w:sz="0" w:space="0" w:color="auto"/>
            <w:left w:val="none" w:sz="0" w:space="0" w:color="auto"/>
            <w:bottom w:val="none" w:sz="0" w:space="0" w:color="auto"/>
            <w:right w:val="none" w:sz="0" w:space="0" w:color="auto"/>
          </w:divBdr>
        </w:div>
        <w:div w:id="1665861641">
          <w:marLeft w:val="0"/>
          <w:marRight w:val="0"/>
          <w:marTop w:val="0"/>
          <w:marBottom w:val="0"/>
          <w:divBdr>
            <w:top w:val="none" w:sz="0" w:space="0" w:color="auto"/>
            <w:left w:val="none" w:sz="0" w:space="0" w:color="auto"/>
            <w:bottom w:val="none" w:sz="0" w:space="0" w:color="auto"/>
            <w:right w:val="none" w:sz="0" w:space="0" w:color="auto"/>
          </w:divBdr>
        </w:div>
        <w:div w:id="1318025199">
          <w:marLeft w:val="0"/>
          <w:marRight w:val="0"/>
          <w:marTop w:val="0"/>
          <w:marBottom w:val="0"/>
          <w:divBdr>
            <w:top w:val="none" w:sz="0" w:space="0" w:color="auto"/>
            <w:left w:val="none" w:sz="0" w:space="0" w:color="auto"/>
            <w:bottom w:val="none" w:sz="0" w:space="0" w:color="auto"/>
            <w:right w:val="none" w:sz="0" w:space="0" w:color="auto"/>
          </w:divBdr>
        </w:div>
        <w:div w:id="843671617">
          <w:marLeft w:val="0"/>
          <w:marRight w:val="0"/>
          <w:marTop w:val="0"/>
          <w:marBottom w:val="0"/>
          <w:divBdr>
            <w:top w:val="none" w:sz="0" w:space="0" w:color="auto"/>
            <w:left w:val="none" w:sz="0" w:space="0" w:color="auto"/>
            <w:bottom w:val="none" w:sz="0" w:space="0" w:color="auto"/>
            <w:right w:val="none" w:sz="0" w:space="0" w:color="auto"/>
          </w:divBdr>
        </w:div>
        <w:div w:id="918173823">
          <w:marLeft w:val="0"/>
          <w:marRight w:val="0"/>
          <w:marTop w:val="0"/>
          <w:marBottom w:val="0"/>
          <w:divBdr>
            <w:top w:val="none" w:sz="0" w:space="0" w:color="auto"/>
            <w:left w:val="none" w:sz="0" w:space="0" w:color="auto"/>
            <w:bottom w:val="none" w:sz="0" w:space="0" w:color="auto"/>
            <w:right w:val="none" w:sz="0" w:space="0" w:color="auto"/>
          </w:divBdr>
        </w:div>
        <w:div w:id="165247792">
          <w:marLeft w:val="0"/>
          <w:marRight w:val="0"/>
          <w:marTop w:val="0"/>
          <w:marBottom w:val="0"/>
          <w:divBdr>
            <w:top w:val="none" w:sz="0" w:space="0" w:color="auto"/>
            <w:left w:val="none" w:sz="0" w:space="0" w:color="auto"/>
            <w:bottom w:val="none" w:sz="0" w:space="0" w:color="auto"/>
            <w:right w:val="none" w:sz="0" w:space="0" w:color="auto"/>
          </w:divBdr>
        </w:div>
        <w:div w:id="132791215">
          <w:marLeft w:val="0"/>
          <w:marRight w:val="0"/>
          <w:marTop w:val="0"/>
          <w:marBottom w:val="0"/>
          <w:divBdr>
            <w:top w:val="none" w:sz="0" w:space="0" w:color="auto"/>
            <w:left w:val="none" w:sz="0" w:space="0" w:color="auto"/>
            <w:bottom w:val="none" w:sz="0" w:space="0" w:color="auto"/>
            <w:right w:val="none" w:sz="0" w:space="0" w:color="auto"/>
          </w:divBdr>
        </w:div>
        <w:div w:id="1224172862">
          <w:marLeft w:val="0"/>
          <w:marRight w:val="0"/>
          <w:marTop w:val="0"/>
          <w:marBottom w:val="0"/>
          <w:divBdr>
            <w:top w:val="none" w:sz="0" w:space="0" w:color="auto"/>
            <w:left w:val="none" w:sz="0" w:space="0" w:color="auto"/>
            <w:bottom w:val="none" w:sz="0" w:space="0" w:color="auto"/>
            <w:right w:val="none" w:sz="0" w:space="0" w:color="auto"/>
          </w:divBdr>
        </w:div>
      </w:divsChild>
    </w:div>
    <w:div w:id="678235921">
      <w:bodyDiv w:val="1"/>
      <w:marLeft w:val="0"/>
      <w:marRight w:val="0"/>
      <w:marTop w:val="0"/>
      <w:marBottom w:val="0"/>
      <w:divBdr>
        <w:top w:val="none" w:sz="0" w:space="0" w:color="auto"/>
        <w:left w:val="none" w:sz="0" w:space="0" w:color="auto"/>
        <w:bottom w:val="none" w:sz="0" w:space="0" w:color="auto"/>
        <w:right w:val="none" w:sz="0" w:space="0" w:color="auto"/>
      </w:divBdr>
      <w:divsChild>
        <w:div w:id="525751165">
          <w:marLeft w:val="0"/>
          <w:marRight w:val="0"/>
          <w:marTop w:val="0"/>
          <w:marBottom w:val="0"/>
          <w:divBdr>
            <w:top w:val="none" w:sz="0" w:space="0" w:color="auto"/>
            <w:left w:val="none" w:sz="0" w:space="0" w:color="auto"/>
            <w:bottom w:val="none" w:sz="0" w:space="0" w:color="auto"/>
            <w:right w:val="none" w:sz="0" w:space="0" w:color="auto"/>
          </w:divBdr>
        </w:div>
        <w:div w:id="362025905">
          <w:marLeft w:val="0"/>
          <w:marRight w:val="0"/>
          <w:marTop w:val="0"/>
          <w:marBottom w:val="0"/>
          <w:divBdr>
            <w:top w:val="none" w:sz="0" w:space="0" w:color="auto"/>
            <w:left w:val="none" w:sz="0" w:space="0" w:color="auto"/>
            <w:bottom w:val="none" w:sz="0" w:space="0" w:color="auto"/>
            <w:right w:val="none" w:sz="0" w:space="0" w:color="auto"/>
          </w:divBdr>
        </w:div>
        <w:div w:id="1842770270">
          <w:marLeft w:val="0"/>
          <w:marRight w:val="0"/>
          <w:marTop w:val="0"/>
          <w:marBottom w:val="0"/>
          <w:divBdr>
            <w:top w:val="none" w:sz="0" w:space="0" w:color="auto"/>
            <w:left w:val="none" w:sz="0" w:space="0" w:color="auto"/>
            <w:bottom w:val="none" w:sz="0" w:space="0" w:color="auto"/>
            <w:right w:val="none" w:sz="0" w:space="0" w:color="auto"/>
          </w:divBdr>
        </w:div>
        <w:div w:id="1258176401">
          <w:marLeft w:val="0"/>
          <w:marRight w:val="0"/>
          <w:marTop w:val="0"/>
          <w:marBottom w:val="0"/>
          <w:divBdr>
            <w:top w:val="none" w:sz="0" w:space="0" w:color="auto"/>
            <w:left w:val="none" w:sz="0" w:space="0" w:color="auto"/>
            <w:bottom w:val="none" w:sz="0" w:space="0" w:color="auto"/>
            <w:right w:val="none" w:sz="0" w:space="0" w:color="auto"/>
          </w:divBdr>
        </w:div>
        <w:div w:id="931159580">
          <w:marLeft w:val="0"/>
          <w:marRight w:val="0"/>
          <w:marTop w:val="0"/>
          <w:marBottom w:val="0"/>
          <w:divBdr>
            <w:top w:val="none" w:sz="0" w:space="0" w:color="auto"/>
            <w:left w:val="none" w:sz="0" w:space="0" w:color="auto"/>
            <w:bottom w:val="none" w:sz="0" w:space="0" w:color="auto"/>
            <w:right w:val="none" w:sz="0" w:space="0" w:color="auto"/>
          </w:divBdr>
        </w:div>
        <w:div w:id="1804690800">
          <w:marLeft w:val="0"/>
          <w:marRight w:val="0"/>
          <w:marTop w:val="0"/>
          <w:marBottom w:val="0"/>
          <w:divBdr>
            <w:top w:val="none" w:sz="0" w:space="0" w:color="auto"/>
            <w:left w:val="none" w:sz="0" w:space="0" w:color="auto"/>
            <w:bottom w:val="none" w:sz="0" w:space="0" w:color="auto"/>
            <w:right w:val="none" w:sz="0" w:space="0" w:color="auto"/>
          </w:divBdr>
        </w:div>
        <w:div w:id="667829568">
          <w:marLeft w:val="0"/>
          <w:marRight w:val="0"/>
          <w:marTop w:val="0"/>
          <w:marBottom w:val="0"/>
          <w:divBdr>
            <w:top w:val="none" w:sz="0" w:space="0" w:color="auto"/>
            <w:left w:val="none" w:sz="0" w:space="0" w:color="auto"/>
            <w:bottom w:val="none" w:sz="0" w:space="0" w:color="auto"/>
            <w:right w:val="none" w:sz="0" w:space="0" w:color="auto"/>
          </w:divBdr>
        </w:div>
        <w:div w:id="1337348081">
          <w:marLeft w:val="0"/>
          <w:marRight w:val="0"/>
          <w:marTop w:val="0"/>
          <w:marBottom w:val="0"/>
          <w:divBdr>
            <w:top w:val="none" w:sz="0" w:space="0" w:color="auto"/>
            <w:left w:val="none" w:sz="0" w:space="0" w:color="auto"/>
            <w:bottom w:val="none" w:sz="0" w:space="0" w:color="auto"/>
            <w:right w:val="none" w:sz="0" w:space="0" w:color="auto"/>
          </w:divBdr>
        </w:div>
        <w:div w:id="1764304103">
          <w:marLeft w:val="0"/>
          <w:marRight w:val="0"/>
          <w:marTop w:val="0"/>
          <w:marBottom w:val="0"/>
          <w:divBdr>
            <w:top w:val="none" w:sz="0" w:space="0" w:color="auto"/>
            <w:left w:val="none" w:sz="0" w:space="0" w:color="auto"/>
            <w:bottom w:val="none" w:sz="0" w:space="0" w:color="auto"/>
            <w:right w:val="none" w:sz="0" w:space="0" w:color="auto"/>
          </w:divBdr>
        </w:div>
        <w:div w:id="1119108495">
          <w:marLeft w:val="0"/>
          <w:marRight w:val="0"/>
          <w:marTop w:val="0"/>
          <w:marBottom w:val="0"/>
          <w:divBdr>
            <w:top w:val="none" w:sz="0" w:space="0" w:color="auto"/>
            <w:left w:val="none" w:sz="0" w:space="0" w:color="auto"/>
            <w:bottom w:val="none" w:sz="0" w:space="0" w:color="auto"/>
            <w:right w:val="none" w:sz="0" w:space="0" w:color="auto"/>
          </w:divBdr>
        </w:div>
        <w:div w:id="1101871881">
          <w:marLeft w:val="0"/>
          <w:marRight w:val="0"/>
          <w:marTop w:val="0"/>
          <w:marBottom w:val="0"/>
          <w:divBdr>
            <w:top w:val="none" w:sz="0" w:space="0" w:color="auto"/>
            <w:left w:val="none" w:sz="0" w:space="0" w:color="auto"/>
            <w:bottom w:val="none" w:sz="0" w:space="0" w:color="auto"/>
            <w:right w:val="none" w:sz="0" w:space="0" w:color="auto"/>
          </w:divBdr>
        </w:div>
        <w:div w:id="1632663092">
          <w:marLeft w:val="0"/>
          <w:marRight w:val="0"/>
          <w:marTop w:val="0"/>
          <w:marBottom w:val="0"/>
          <w:divBdr>
            <w:top w:val="none" w:sz="0" w:space="0" w:color="auto"/>
            <w:left w:val="none" w:sz="0" w:space="0" w:color="auto"/>
            <w:bottom w:val="none" w:sz="0" w:space="0" w:color="auto"/>
            <w:right w:val="none" w:sz="0" w:space="0" w:color="auto"/>
          </w:divBdr>
        </w:div>
        <w:div w:id="1645430416">
          <w:marLeft w:val="0"/>
          <w:marRight w:val="0"/>
          <w:marTop w:val="0"/>
          <w:marBottom w:val="0"/>
          <w:divBdr>
            <w:top w:val="none" w:sz="0" w:space="0" w:color="auto"/>
            <w:left w:val="none" w:sz="0" w:space="0" w:color="auto"/>
            <w:bottom w:val="none" w:sz="0" w:space="0" w:color="auto"/>
            <w:right w:val="none" w:sz="0" w:space="0" w:color="auto"/>
          </w:divBdr>
        </w:div>
        <w:div w:id="485165146">
          <w:marLeft w:val="0"/>
          <w:marRight w:val="0"/>
          <w:marTop w:val="0"/>
          <w:marBottom w:val="0"/>
          <w:divBdr>
            <w:top w:val="none" w:sz="0" w:space="0" w:color="auto"/>
            <w:left w:val="none" w:sz="0" w:space="0" w:color="auto"/>
            <w:bottom w:val="none" w:sz="0" w:space="0" w:color="auto"/>
            <w:right w:val="none" w:sz="0" w:space="0" w:color="auto"/>
          </w:divBdr>
        </w:div>
        <w:div w:id="1695686282">
          <w:marLeft w:val="0"/>
          <w:marRight w:val="0"/>
          <w:marTop w:val="0"/>
          <w:marBottom w:val="0"/>
          <w:divBdr>
            <w:top w:val="none" w:sz="0" w:space="0" w:color="auto"/>
            <w:left w:val="none" w:sz="0" w:space="0" w:color="auto"/>
            <w:bottom w:val="none" w:sz="0" w:space="0" w:color="auto"/>
            <w:right w:val="none" w:sz="0" w:space="0" w:color="auto"/>
          </w:divBdr>
        </w:div>
        <w:div w:id="870413828">
          <w:marLeft w:val="0"/>
          <w:marRight w:val="0"/>
          <w:marTop w:val="0"/>
          <w:marBottom w:val="0"/>
          <w:divBdr>
            <w:top w:val="none" w:sz="0" w:space="0" w:color="auto"/>
            <w:left w:val="none" w:sz="0" w:space="0" w:color="auto"/>
            <w:bottom w:val="none" w:sz="0" w:space="0" w:color="auto"/>
            <w:right w:val="none" w:sz="0" w:space="0" w:color="auto"/>
          </w:divBdr>
        </w:div>
      </w:divsChild>
    </w:div>
    <w:div w:id="683440001">
      <w:bodyDiv w:val="1"/>
      <w:marLeft w:val="0"/>
      <w:marRight w:val="0"/>
      <w:marTop w:val="0"/>
      <w:marBottom w:val="0"/>
      <w:divBdr>
        <w:top w:val="none" w:sz="0" w:space="0" w:color="auto"/>
        <w:left w:val="none" w:sz="0" w:space="0" w:color="auto"/>
        <w:bottom w:val="none" w:sz="0" w:space="0" w:color="auto"/>
        <w:right w:val="none" w:sz="0" w:space="0" w:color="auto"/>
      </w:divBdr>
      <w:divsChild>
        <w:div w:id="1347437916">
          <w:marLeft w:val="0"/>
          <w:marRight w:val="0"/>
          <w:marTop w:val="0"/>
          <w:marBottom w:val="0"/>
          <w:divBdr>
            <w:top w:val="none" w:sz="0" w:space="0" w:color="auto"/>
            <w:left w:val="none" w:sz="0" w:space="0" w:color="auto"/>
            <w:bottom w:val="none" w:sz="0" w:space="0" w:color="auto"/>
            <w:right w:val="none" w:sz="0" w:space="0" w:color="auto"/>
          </w:divBdr>
        </w:div>
        <w:div w:id="1850947377">
          <w:marLeft w:val="0"/>
          <w:marRight w:val="0"/>
          <w:marTop w:val="0"/>
          <w:marBottom w:val="0"/>
          <w:divBdr>
            <w:top w:val="none" w:sz="0" w:space="0" w:color="auto"/>
            <w:left w:val="none" w:sz="0" w:space="0" w:color="auto"/>
            <w:bottom w:val="none" w:sz="0" w:space="0" w:color="auto"/>
            <w:right w:val="none" w:sz="0" w:space="0" w:color="auto"/>
          </w:divBdr>
        </w:div>
        <w:div w:id="2087652243">
          <w:marLeft w:val="0"/>
          <w:marRight w:val="0"/>
          <w:marTop w:val="0"/>
          <w:marBottom w:val="0"/>
          <w:divBdr>
            <w:top w:val="none" w:sz="0" w:space="0" w:color="auto"/>
            <w:left w:val="none" w:sz="0" w:space="0" w:color="auto"/>
            <w:bottom w:val="none" w:sz="0" w:space="0" w:color="auto"/>
            <w:right w:val="none" w:sz="0" w:space="0" w:color="auto"/>
          </w:divBdr>
        </w:div>
        <w:div w:id="396513174">
          <w:marLeft w:val="0"/>
          <w:marRight w:val="0"/>
          <w:marTop w:val="0"/>
          <w:marBottom w:val="0"/>
          <w:divBdr>
            <w:top w:val="none" w:sz="0" w:space="0" w:color="auto"/>
            <w:left w:val="none" w:sz="0" w:space="0" w:color="auto"/>
            <w:bottom w:val="none" w:sz="0" w:space="0" w:color="auto"/>
            <w:right w:val="none" w:sz="0" w:space="0" w:color="auto"/>
          </w:divBdr>
        </w:div>
        <w:div w:id="1168443845">
          <w:marLeft w:val="0"/>
          <w:marRight w:val="0"/>
          <w:marTop w:val="0"/>
          <w:marBottom w:val="0"/>
          <w:divBdr>
            <w:top w:val="none" w:sz="0" w:space="0" w:color="auto"/>
            <w:left w:val="none" w:sz="0" w:space="0" w:color="auto"/>
            <w:bottom w:val="none" w:sz="0" w:space="0" w:color="auto"/>
            <w:right w:val="none" w:sz="0" w:space="0" w:color="auto"/>
          </w:divBdr>
        </w:div>
        <w:div w:id="1345522542">
          <w:marLeft w:val="0"/>
          <w:marRight w:val="0"/>
          <w:marTop w:val="0"/>
          <w:marBottom w:val="0"/>
          <w:divBdr>
            <w:top w:val="none" w:sz="0" w:space="0" w:color="auto"/>
            <w:left w:val="none" w:sz="0" w:space="0" w:color="auto"/>
            <w:bottom w:val="none" w:sz="0" w:space="0" w:color="auto"/>
            <w:right w:val="none" w:sz="0" w:space="0" w:color="auto"/>
          </w:divBdr>
        </w:div>
        <w:div w:id="402994996">
          <w:marLeft w:val="0"/>
          <w:marRight w:val="0"/>
          <w:marTop w:val="0"/>
          <w:marBottom w:val="0"/>
          <w:divBdr>
            <w:top w:val="none" w:sz="0" w:space="0" w:color="auto"/>
            <w:left w:val="none" w:sz="0" w:space="0" w:color="auto"/>
            <w:bottom w:val="none" w:sz="0" w:space="0" w:color="auto"/>
            <w:right w:val="none" w:sz="0" w:space="0" w:color="auto"/>
          </w:divBdr>
        </w:div>
        <w:div w:id="1669167652">
          <w:marLeft w:val="0"/>
          <w:marRight w:val="0"/>
          <w:marTop w:val="0"/>
          <w:marBottom w:val="0"/>
          <w:divBdr>
            <w:top w:val="none" w:sz="0" w:space="0" w:color="auto"/>
            <w:left w:val="none" w:sz="0" w:space="0" w:color="auto"/>
            <w:bottom w:val="none" w:sz="0" w:space="0" w:color="auto"/>
            <w:right w:val="none" w:sz="0" w:space="0" w:color="auto"/>
          </w:divBdr>
        </w:div>
        <w:div w:id="1541161773">
          <w:marLeft w:val="0"/>
          <w:marRight w:val="0"/>
          <w:marTop w:val="0"/>
          <w:marBottom w:val="0"/>
          <w:divBdr>
            <w:top w:val="none" w:sz="0" w:space="0" w:color="auto"/>
            <w:left w:val="none" w:sz="0" w:space="0" w:color="auto"/>
            <w:bottom w:val="none" w:sz="0" w:space="0" w:color="auto"/>
            <w:right w:val="none" w:sz="0" w:space="0" w:color="auto"/>
          </w:divBdr>
        </w:div>
        <w:div w:id="1078986146">
          <w:marLeft w:val="0"/>
          <w:marRight w:val="0"/>
          <w:marTop w:val="0"/>
          <w:marBottom w:val="0"/>
          <w:divBdr>
            <w:top w:val="none" w:sz="0" w:space="0" w:color="auto"/>
            <w:left w:val="none" w:sz="0" w:space="0" w:color="auto"/>
            <w:bottom w:val="none" w:sz="0" w:space="0" w:color="auto"/>
            <w:right w:val="none" w:sz="0" w:space="0" w:color="auto"/>
          </w:divBdr>
        </w:div>
      </w:divsChild>
    </w:div>
    <w:div w:id="748816220">
      <w:bodyDiv w:val="1"/>
      <w:marLeft w:val="0"/>
      <w:marRight w:val="0"/>
      <w:marTop w:val="0"/>
      <w:marBottom w:val="0"/>
      <w:divBdr>
        <w:top w:val="none" w:sz="0" w:space="0" w:color="auto"/>
        <w:left w:val="none" w:sz="0" w:space="0" w:color="auto"/>
        <w:bottom w:val="none" w:sz="0" w:space="0" w:color="auto"/>
        <w:right w:val="none" w:sz="0" w:space="0" w:color="auto"/>
      </w:divBdr>
      <w:divsChild>
        <w:div w:id="97414506">
          <w:marLeft w:val="0"/>
          <w:marRight w:val="0"/>
          <w:marTop w:val="0"/>
          <w:marBottom w:val="0"/>
          <w:divBdr>
            <w:top w:val="none" w:sz="0" w:space="0" w:color="auto"/>
            <w:left w:val="none" w:sz="0" w:space="0" w:color="auto"/>
            <w:bottom w:val="none" w:sz="0" w:space="0" w:color="auto"/>
            <w:right w:val="none" w:sz="0" w:space="0" w:color="auto"/>
          </w:divBdr>
        </w:div>
        <w:div w:id="890113733">
          <w:marLeft w:val="0"/>
          <w:marRight w:val="0"/>
          <w:marTop w:val="0"/>
          <w:marBottom w:val="0"/>
          <w:divBdr>
            <w:top w:val="none" w:sz="0" w:space="0" w:color="auto"/>
            <w:left w:val="none" w:sz="0" w:space="0" w:color="auto"/>
            <w:bottom w:val="none" w:sz="0" w:space="0" w:color="auto"/>
            <w:right w:val="none" w:sz="0" w:space="0" w:color="auto"/>
          </w:divBdr>
        </w:div>
      </w:divsChild>
    </w:div>
    <w:div w:id="815947944">
      <w:bodyDiv w:val="1"/>
      <w:marLeft w:val="0"/>
      <w:marRight w:val="0"/>
      <w:marTop w:val="0"/>
      <w:marBottom w:val="0"/>
      <w:divBdr>
        <w:top w:val="none" w:sz="0" w:space="0" w:color="auto"/>
        <w:left w:val="none" w:sz="0" w:space="0" w:color="auto"/>
        <w:bottom w:val="none" w:sz="0" w:space="0" w:color="auto"/>
        <w:right w:val="none" w:sz="0" w:space="0" w:color="auto"/>
      </w:divBdr>
      <w:divsChild>
        <w:div w:id="286282766">
          <w:marLeft w:val="0"/>
          <w:marRight w:val="0"/>
          <w:marTop w:val="0"/>
          <w:marBottom w:val="0"/>
          <w:divBdr>
            <w:top w:val="none" w:sz="0" w:space="0" w:color="auto"/>
            <w:left w:val="none" w:sz="0" w:space="0" w:color="auto"/>
            <w:bottom w:val="none" w:sz="0" w:space="0" w:color="auto"/>
            <w:right w:val="none" w:sz="0" w:space="0" w:color="auto"/>
          </w:divBdr>
        </w:div>
        <w:div w:id="832720762">
          <w:marLeft w:val="0"/>
          <w:marRight w:val="0"/>
          <w:marTop w:val="0"/>
          <w:marBottom w:val="0"/>
          <w:divBdr>
            <w:top w:val="none" w:sz="0" w:space="0" w:color="auto"/>
            <w:left w:val="none" w:sz="0" w:space="0" w:color="auto"/>
            <w:bottom w:val="none" w:sz="0" w:space="0" w:color="auto"/>
            <w:right w:val="none" w:sz="0" w:space="0" w:color="auto"/>
          </w:divBdr>
        </w:div>
        <w:div w:id="732125779">
          <w:marLeft w:val="0"/>
          <w:marRight w:val="0"/>
          <w:marTop w:val="0"/>
          <w:marBottom w:val="0"/>
          <w:divBdr>
            <w:top w:val="none" w:sz="0" w:space="0" w:color="auto"/>
            <w:left w:val="none" w:sz="0" w:space="0" w:color="auto"/>
            <w:bottom w:val="none" w:sz="0" w:space="0" w:color="auto"/>
            <w:right w:val="none" w:sz="0" w:space="0" w:color="auto"/>
          </w:divBdr>
        </w:div>
        <w:div w:id="1266305072">
          <w:marLeft w:val="0"/>
          <w:marRight w:val="0"/>
          <w:marTop w:val="0"/>
          <w:marBottom w:val="0"/>
          <w:divBdr>
            <w:top w:val="none" w:sz="0" w:space="0" w:color="auto"/>
            <w:left w:val="none" w:sz="0" w:space="0" w:color="auto"/>
            <w:bottom w:val="none" w:sz="0" w:space="0" w:color="auto"/>
            <w:right w:val="none" w:sz="0" w:space="0" w:color="auto"/>
          </w:divBdr>
        </w:div>
        <w:div w:id="2114931099">
          <w:marLeft w:val="0"/>
          <w:marRight w:val="0"/>
          <w:marTop w:val="0"/>
          <w:marBottom w:val="0"/>
          <w:divBdr>
            <w:top w:val="none" w:sz="0" w:space="0" w:color="auto"/>
            <w:left w:val="none" w:sz="0" w:space="0" w:color="auto"/>
            <w:bottom w:val="none" w:sz="0" w:space="0" w:color="auto"/>
            <w:right w:val="none" w:sz="0" w:space="0" w:color="auto"/>
          </w:divBdr>
        </w:div>
        <w:div w:id="1483736077">
          <w:marLeft w:val="0"/>
          <w:marRight w:val="0"/>
          <w:marTop w:val="0"/>
          <w:marBottom w:val="0"/>
          <w:divBdr>
            <w:top w:val="none" w:sz="0" w:space="0" w:color="auto"/>
            <w:left w:val="none" w:sz="0" w:space="0" w:color="auto"/>
            <w:bottom w:val="none" w:sz="0" w:space="0" w:color="auto"/>
            <w:right w:val="none" w:sz="0" w:space="0" w:color="auto"/>
          </w:divBdr>
        </w:div>
        <w:div w:id="1848250376">
          <w:marLeft w:val="0"/>
          <w:marRight w:val="0"/>
          <w:marTop w:val="0"/>
          <w:marBottom w:val="0"/>
          <w:divBdr>
            <w:top w:val="none" w:sz="0" w:space="0" w:color="auto"/>
            <w:left w:val="none" w:sz="0" w:space="0" w:color="auto"/>
            <w:bottom w:val="none" w:sz="0" w:space="0" w:color="auto"/>
            <w:right w:val="none" w:sz="0" w:space="0" w:color="auto"/>
          </w:divBdr>
        </w:div>
        <w:div w:id="523399289">
          <w:marLeft w:val="0"/>
          <w:marRight w:val="0"/>
          <w:marTop w:val="0"/>
          <w:marBottom w:val="0"/>
          <w:divBdr>
            <w:top w:val="none" w:sz="0" w:space="0" w:color="auto"/>
            <w:left w:val="none" w:sz="0" w:space="0" w:color="auto"/>
            <w:bottom w:val="none" w:sz="0" w:space="0" w:color="auto"/>
            <w:right w:val="none" w:sz="0" w:space="0" w:color="auto"/>
          </w:divBdr>
        </w:div>
        <w:div w:id="42365858">
          <w:marLeft w:val="0"/>
          <w:marRight w:val="0"/>
          <w:marTop w:val="0"/>
          <w:marBottom w:val="0"/>
          <w:divBdr>
            <w:top w:val="none" w:sz="0" w:space="0" w:color="auto"/>
            <w:left w:val="none" w:sz="0" w:space="0" w:color="auto"/>
            <w:bottom w:val="none" w:sz="0" w:space="0" w:color="auto"/>
            <w:right w:val="none" w:sz="0" w:space="0" w:color="auto"/>
          </w:divBdr>
        </w:div>
        <w:div w:id="773331199">
          <w:marLeft w:val="0"/>
          <w:marRight w:val="0"/>
          <w:marTop w:val="0"/>
          <w:marBottom w:val="0"/>
          <w:divBdr>
            <w:top w:val="none" w:sz="0" w:space="0" w:color="auto"/>
            <w:left w:val="none" w:sz="0" w:space="0" w:color="auto"/>
            <w:bottom w:val="none" w:sz="0" w:space="0" w:color="auto"/>
            <w:right w:val="none" w:sz="0" w:space="0" w:color="auto"/>
          </w:divBdr>
        </w:div>
        <w:div w:id="2056079414">
          <w:marLeft w:val="0"/>
          <w:marRight w:val="0"/>
          <w:marTop w:val="0"/>
          <w:marBottom w:val="0"/>
          <w:divBdr>
            <w:top w:val="none" w:sz="0" w:space="0" w:color="auto"/>
            <w:left w:val="none" w:sz="0" w:space="0" w:color="auto"/>
            <w:bottom w:val="none" w:sz="0" w:space="0" w:color="auto"/>
            <w:right w:val="none" w:sz="0" w:space="0" w:color="auto"/>
          </w:divBdr>
        </w:div>
        <w:div w:id="1754739913">
          <w:marLeft w:val="0"/>
          <w:marRight w:val="0"/>
          <w:marTop w:val="0"/>
          <w:marBottom w:val="0"/>
          <w:divBdr>
            <w:top w:val="none" w:sz="0" w:space="0" w:color="auto"/>
            <w:left w:val="none" w:sz="0" w:space="0" w:color="auto"/>
            <w:bottom w:val="none" w:sz="0" w:space="0" w:color="auto"/>
            <w:right w:val="none" w:sz="0" w:space="0" w:color="auto"/>
          </w:divBdr>
        </w:div>
        <w:div w:id="321979384">
          <w:marLeft w:val="0"/>
          <w:marRight w:val="0"/>
          <w:marTop w:val="0"/>
          <w:marBottom w:val="0"/>
          <w:divBdr>
            <w:top w:val="none" w:sz="0" w:space="0" w:color="auto"/>
            <w:left w:val="none" w:sz="0" w:space="0" w:color="auto"/>
            <w:bottom w:val="none" w:sz="0" w:space="0" w:color="auto"/>
            <w:right w:val="none" w:sz="0" w:space="0" w:color="auto"/>
          </w:divBdr>
        </w:div>
        <w:div w:id="976372123">
          <w:marLeft w:val="0"/>
          <w:marRight w:val="0"/>
          <w:marTop w:val="0"/>
          <w:marBottom w:val="0"/>
          <w:divBdr>
            <w:top w:val="none" w:sz="0" w:space="0" w:color="auto"/>
            <w:left w:val="none" w:sz="0" w:space="0" w:color="auto"/>
            <w:bottom w:val="none" w:sz="0" w:space="0" w:color="auto"/>
            <w:right w:val="none" w:sz="0" w:space="0" w:color="auto"/>
          </w:divBdr>
        </w:div>
        <w:div w:id="80564539">
          <w:marLeft w:val="0"/>
          <w:marRight w:val="0"/>
          <w:marTop w:val="0"/>
          <w:marBottom w:val="0"/>
          <w:divBdr>
            <w:top w:val="none" w:sz="0" w:space="0" w:color="auto"/>
            <w:left w:val="none" w:sz="0" w:space="0" w:color="auto"/>
            <w:bottom w:val="none" w:sz="0" w:space="0" w:color="auto"/>
            <w:right w:val="none" w:sz="0" w:space="0" w:color="auto"/>
          </w:divBdr>
        </w:div>
        <w:div w:id="1442459389">
          <w:marLeft w:val="0"/>
          <w:marRight w:val="0"/>
          <w:marTop w:val="0"/>
          <w:marBottom w:val="0"/>
          <w:divBdr>
            <w:top w:val="none" w:sz="0" w:space="0" w:color="auto"/>
            <w:left w:val="none" w:sz="0" w:space="0" w:color="auto"/>
            <w:bottom w:val="none" w:sz="0" w:space="0" w:color="auto"/>
            <w:right w:val="none" w:sz="0" w:space="0" w:color="auto"/>
          </w:divBdr>
        </w:div>
      </w:divsChild>
    </w:div>
    <w:div w:id="932862804">
      <w:bodyDiv w:val="1"/>
      <w:marLeft w:val="0"/>
      <w:marRight w:val="0"/>
      <w:marTop w:val="0"/>
      <w:marBottom w:val="0"/>
      <w:divBdr>
        <w:top w:val="none" w:sz="0" w:space="0" w:color="auto"/>
        <w:left w:val="none" w:sz="0" w:space="0" w:color="auto"/>
        <w:bottom w:val="none" w:sz="0" w:space="0" w:color="auto"/>
        <w:right w:val="none" w:sz="0" w:space="0" w:color="auto"/>
      </w:divBdr>
      <w:divsChild>
        <w:div w:id="1994481966">
          <w:marLeft w:val="0"/>
          <w:marRight w:val="0"/>
          <w:marTop w:val="0"/>
          <w:marBottom w:val="0"/>
          <w:divBdr>
            <w:top w:val="none" w:sz="0" w:space="0" w:color="auto"/>
            <w:left w:val="none" w:sz="0" w:space="0" w:color="auto"/>
            <w:bottom w:val="none" w:sz="0" w:space="0" w:color="auto"/>
            <w:right w:val="none" w:sz="0" w:space="0" w:color="auto"/>
          </w:divBdr>
        </w:div>
        <w:div w:id="1393581010">
          <w:marLeft w:val="0"/>
          <w:marRight w:val="0"/>
          <w:marTop w:val="0"/>
          <w:marBottom w:val="0"/>
          <w:divBdr>
            <w:top w:val="none" w:sz="0" w:space="0" w:color="auto"/>
            <w:left w:val="none" w:sz="0" w:space="0" w:color="auto"/>
            <w:bottom w:val="none" w:sz="0" w:space="0" w:color="auto"/>
            <w:right w:val="none" w:sz="0" w:space="0" w:color="auto"/>
          </w:divBdr>
        </w:div>
        <w:div w:id="619847512">
          <w:marLeft w:val="0"/>
          <w:marRight w:val="0"/>
          <w:marTop w:val="0"/>
          <w:marBottom w:val="0"/>
          <w:divBdr>
            <w:top w:val="none" w:sz="0" w:space="0" w:color="auto"/>
            <w:left w:val="none" w:sz="0" w:space="0" w:color="auto"/>
            <w:bottom w:val="none" w:sz="0" w:space="0" w:color="auto"/>
            <w:right w:val="none" w:sz="0" w:space="0" w:color="auto"/>
          </w:divBdr>
        </w:div>
        <w:div w:id="2142839139">
          <w:marLeft w:val="0"/>
          <w:marRight w:val="0"/>
          <w:marTop w:val="0"/>
          <w:marBottom w:val="0"/>
          <w:divBdr>
            <w:top w:val="none" w:sz="0" w:space="0" w:color="auto"/>
            <w:left w:val="none" w:sz="0" w:space="0" w:color="auto"/>
            <w:bottom w:val="none" w:sz="0" w:space="0" w:color="auto"/>
            <w:right w:val="none" w:sz="0" w:space="0" w:color="auto"/>
          </w:divBdr>
        </w:div>
        <w:div w:id="1755785182">
          <w:marLeft w:val="0"/>
          <w:marRight w:val="0"/>
          <w:marTop w:val="0"/>
          <w:marBottom w:val="0"/>
          <w:divBdr>
            <w:top w:val="none" w:sz="0" w:space="0" w:color="auto"/>
            <w:left w:val="none" w:sz="0" w:space="0" w:color="auto"/>
            <w:bottom w:val="none" w:sz="0" w:space="0" w:color="auto"/>
            <w:right w:val="none" w:sz="0" w:space="0" w:color="auto"/>
          </w:divBdr>
        </w:div>
        <w:div w:id="249168201">
          <w:marLeft w:val="0"/>
          <w:marRight w:val="0"/>
          <w:marTop w:val="0"/>
          <w:marBottom w:val="0"/>
          <w:divBdr>
            <w:top w:val="none" w:sz="0" w:space="0" w:color="auto"/>
            <w:left w:val="none" w:sz="0" w:space="0" w:color="auto"/>
            <w:bottom w:val="none" w:sz="0" w:space="0" w:color="auto"/>
            <w:right w:val="none" w:sz="0" w:space="0" w:color="auto"/>
          </w:divBdr>
        </w:div>
        <w:div w:id="1409040422">
          <w:marLeft w:val="0"/>
          <w:marRight w:val="0"/>
          <w:marTop w:val="0"/>
          <w:marBottom w:val="0"/>
          <w:divBdr>
            <w:top w:val="none" w:sz="0" w:space="0" w:color="auto"/>
            <w:left w:val="none" w:sz="0" w:space="0" w:color="auto"/>
            <w:bottom w:val="none" w:sz="0" w:space="0" w:color="auto"/>
            <w:right w:val="none" w:sz="0" w:space="0" w:color="auto"/>
          </w:divBdr>
        </w:div>
        <w:div w:id="198933077">
          <w:marLeft w:val="0"/>
          <w:marRight w:val="0"/>
          <w:marTop w:val="0"/>
          <w:marBottom w:val="0"/>
          <w:divBdr>
            <w:top w:val="none" w:sz="0" w:space="0" w:color="auto"/>
            <w:left w:val="none" w:sz="0" w:space="0" w:color="auto"/>
            <w:bottom w:val="none" w:sz="0" w:space="0" w:color="auto"/>
            <w:right w:val="none" w:sz="0" w:space="0" w:color="auto"/>
          </w:divBdr>
        </w:div>
        <w:div w:id="980311186">
          <w:marLeft w:val="0"/>
          <w:marRight w:val="0"/>
          <w:marTop w:val="0"/>
          <w:marBottom w:val="0"/>
          <w:divBdr>
            <w:top w:val="none" w:sz="0" w:space="0" w:color="auto"/>
            <w:left w:val="none" w:sz="0" w:space="0" w:color="auto"/>
            <w:bottom w:val="none" w:sz="0" w:space="0" w:color="auto"/>
            <w:right w:val="none" w:sz="0" w:space="0" w:color="auto"/>
          </w:divBdr>
        </w:div>
        <w:div w:id="1787430961">
          <w:marLeft w:val="0"/>
          <w:marRight w:val="0"/>
          <w:marTop w:val="0"/>
          <w:marBottom w:val="0"/>
          <w:divBdr>
            <w:top w:val="none" w:sz="0" w:space="0" w:color="auto"/>
            <w:left w:val="none" w:sz="0" w:space="0" w:color="auto"/>
            <w:bottom w:val="none" w:sz="0" w:space="0" w:color="auto"/>
            <w:right w:val="none" w:sz="0" w:space="0" w:color="auto"/>
          </w:divBdr>
        </w:div>
        <w:div w:id="1391617855">
          <w:marLeft w:val="0"/>
          <w:marRight w:val="0"/>
          <w:marTop w:val="0"/>
          <w:marBottom w:val="0"/>
          <w:divBdr>
            <w:top w:val="none" w:sz="0" w:space="0" w:color="auto"/>
            <w:left w:val="none" w:sz="0" w:space="0" w:color="auto"/>
            <w:bottom w:val="none" w:sz="0" w:space="0" w:color="auto"/>
            <w:right w:val="none" w:sz="0" w:space="0" w:color="auto"/>
          </w:divBdr>
        </w:div>
        <w:div w:id="2059932316">
          <w:marLeft w:val="0"/>
          <w:marRight w:val="0"/>
          <w:marTop w:val="0"/>
          <w:marBottom w:val="0"/>
          <w:divBdr>
            <w:top w:val="none" w:sz="0" w:space="0" w:color="auto"/>
            <w:left w:val="none" w:sz="0" w:space="0" w:color="auto"/>
            <w:bottom w:val="none" w:sz="0" w:space="0" w:color="auto"/>
            <w:right w:val="none" w:sz="0" w:space="0" w:color="auto"/>
          </w:divBdr>
        </w:div>
        <w:div w:id="2139371744">
          <w:marLeft w:val="0"/>
          <w:marRight w:val="0"/>
          <w:marTop w:val="0"/>
          <w:marBottom w:val="0"/>
          <w:divBdr>
            <w:top w:val="none" w:sz="0" w:space="0" w:color="auto"/>
            <w:left w:val="none" w:sz="0" w:space="0" w:color="auto"/>
            <w:bottom w:val="none" w:sz="0" w:space="0" w:color="auto"/>
            <w:right w:val="none" w:sz="0" w:space="0" w:color="auto"/>
          </w:divBdr>
        </w:div>
        <w:div w:id="190534090">
          <w:marLeft w:val="0"/>
          <w:marRight w:val="0"/>
          <w:marTop w:val="0"/>
          <w:marBottom w:val="0"/>
          <w:divBdr>
            <w:top w:val="none" w:sz="0" w:space="0" w:color="auto"/>
            <w:left w:val="none" w:sz="0" w:space="0" w:color="auto"/>
            <w:bottom w:val="none" w:sz="0" w:space="0" w:color="auto"/>
            <w:right w:val="none" w:sz="0" w:space="0" w:color="auto"/>
          </w:divBdr>
        </w:div>
        <w:div w:id="1148982002">
          <w:marLeft w:val="0"/>
          <w:marRight w:val="0"/>
          <w:marTop w:val="0"/>
          <w:marBottom w:val="0"/>
          <w:divBdr>
            <w:top w:val="none" w:sz="0" w:space="0" w:color="auto"/>
            <w:left w:val="none" w:sz="0" w:space="0" w:color="auto"/>
            <w:bottom w:val="none" w:sz="0" w:space="0" w:color="auto"/>
            <w:right w:val="none" w:sz="0" w:space="0" w:color="auto"/>
          </w:divBdr>
        </w:div>
        <w:div w:id="1445923167">
          <w:marLeft w:val="0"/>
          <w:marRight w:val="0"/>
          <w:marTop w:val="0"/>
          <w:marBottom w:val="0"/>
          <w:divBdr>
            <w:top w:val="none" w:sz="0" w:space="0" w:color="auto"/>
            <w:left w:val="none" w:sz="0" w:space="0" w:color="auto"/>
            <w:bottom w:val="none" w:sz="0" w:space="0" w:color="auto"/>
            <w:right w:val="none" w:sz="0" w:space="0" w:color="auto"/>
          </w:divBdr>
        </w:div>
        <w:div w:id="493759694">
          <w:marLeft w:val="0"/>
          <w:marRight w:val="0"/>
          <w:marTop w:val="0"/>
          <w:marBottom w:val="0"/>
          <w:divBdr>
            <w:top w:val="none" w:sz="0" w:space="0" w:color="auto"/>
            <w:left w:val="none" w:sz="0" w:space="0" w:color="auto"/>
            <w:bottom w:val="none" w:sz="0" w:space="0" w:color="auto"/>
            <w:right w:val="none" w:sz="0" w:space="0" w:color="auto"/>
          </w:divBdr>
        </w:div>
        <w:div w:id="2052611177">
          <w:marLeft w:val="0"/>
          <w:marRight w:val="0"/>
          <w:marTop w:val="0"/>
          <w:marBottom w:val="0"/>
          <w:divBdr>
            <w:top w:val="none" w:sz="0" w:space="0" w:color="auto"/>
            <w:left w:val="none" w:sz="0" w:space="0" w:color="auto"/>
            <w:bottom w:val="none" w:sz="0" w:space="0" w:color="auto"/>
            <w:right w:val="none" w:sz="0" w:space="0" w:color="auto"/>
          </w:divBdr>
        </w:div>
        <w:div w:id="1384866710">
          <w:marLeft w:val="0"/>
          <w:marRight w:val="0"/>
          <w:marTop w:val="0"/>
          <w:marBottom w:val="0"/>
          <w:divBdr>
            <w:top w:val="none" w:sz="0" w:space="0" w:color="auto"/>
            <w:left w:val="none" w:sz="0" w:space="0" w:color="auto"/>
            <w:bottom w:val="none" w:sz="0" w:space="0" w:color="auto"/>
            <w:right w:val="none" w:sz="0" w:space="0" w:color="auto"/>
          </w:divBdr>
        </w:div>
        <w:div w:id="72632793">
          <w:marLeft w:val="0"/>
          <w:marRight w:val="0"/>
          <w:marTop w:val="0"/>
          <w:marBottom w:val="0"/>
          <w:divBdr>
            <w:top w:val="none" w:sz="0" w:space="0" w:color="auto"/>
            <w:left w:val="none" w:sz="0" w:space="0" w:color="auto"/>
            <w:bottom w:val="none" w:sz="0" w:space="0" w:color="auto"/>
            <w:right w:val="none" w:sz="0" w:space="0" w:color="auto"/>
          </w:divBdr>
        </w:div>
        <w:div w:id="617950086">
          <w:marLeft w:val="0"/>
          <w:marRight w:val="0"/>
          <w:marTop w:val="0"/>
          <w:marBottom w:val="0"/>
          <w:divBdr>
            <w:top w:val="none" w:sz="0" w:space="0" w:color="auto"/>
            <w:left w:val="none" w:sz="0" w:space="0" w:color="auto"/>
            <w:bottom w:val="none" w:sz="0" w:space="0" w:color="auto"/>
            <w:right w:val="none" w:sz="0" w:space="0" w:color="auto"/>
          </w:divBdr>
        </w:div>
        <w:div w:id="1502156381">
          <w:marLeft w:val="0"/>
          <w:marRight w:val="0"/>
          <w:marTop w:val="0"/>
          <w:marBottom w:val="0"/>
          <w:divBdr>
            <w:top w:val="none" w:sz="0" w:space="0" w:color="auto"/>
            <w:left w:val="none" w:sz="0" w:space="0" w:color="auto"/>
            <w:bottom w:val="none" w:sz="0" w:space="0" w:color="auto"/>
            <w:right w:val="none" w:sz="0" w:space="0" w:color="auto"/>
          </w:divBdr>
        </w:div>
        <w:div w:id="74670825">
          <w:marLeft w:val="0"/>
          <w:marRight w:val="0"/>
          <w:marTop w:val="0"/>
          <w:marBottom w:val="0"/>
          <w:divBdr>
            <w:top w:val="none" w:sz="0" w:space="0" w:color="auto"/>
            <w:left w:val="none" w:sz="0" w:space="0" w:color="auto"/>
            <w:bottom w:val="none" w:sz="0" w:space="0" w:color="auto"/>
            <w:right w:val="none" w:sz="0" w:space="0" w:color="auto"/>
          </w:divBdr>
        </w:div>
        <w:div w:id="739056107">
          <w:marLeft w:val="0"/>
          <w:marRight w:val="0"/>
          <w:marTop w:val="0"/>
          <w:marBottom w:val="0"/>
          <w:divBdr>
            <w:top w:val="none" w:sz="0" w:space="0" w:color="auto"/>
            <w:left w:val="none" w:sz="0" w:space="0" w:color="auto"/>
            <w:bottom w:val="none" w:sz="0" w:space="0" w:color="auto"/>
            <w:right w:val="none" w:sz="0" w:space="0" w:color="auto"/>
          </w:divBdr>
        </w:div>
        <w:div w:id="1614942157">
          <w:marLeft w:val="0"/>
          <w:marRight w:val="0"/>
          <w:marTop w:val="0"/>
          <w:marBottom w:val="0"/>
          <w:divBdr>
            <w:top w:val="none" w:sz="0" w:space="0" w:color="auto"/>
            <w:left w:val="none" w:sz="0" w:space="0" w:color="auto"/>
            <w:bottom w:val="none" w:sz="0" w:space="0" w:color="auto"/>
            <w:right w:val="none" w:sz="0" w:space="0" w:color="auto"/>
          </w:divBdr>
        </w:div>
        <w:div w:id="1114902496">
          <w:marLeft w:val="0"/>
          <w:marRight w:val="0"/>
          <w:marTop w:val="0"/>
          <w:marBottom w:val="0"/>
          <w:divBdr>
            <w:top w:val="none" w:sz="0" w:space="0" w:color="auto"/>
            <w:left w:val="none" w:sz="0" w:space="0" w:color="auto"/>
            <w:bottom w:val="none" w:sz="0" w:space="0" w:color="auto"/>
            <w:right w:val="none" w:sz="0" w:space="0" w:color="auto"/>
          </w:divBdr>
        </w:div>
        <w:div w:id="359553409">
          <w:marLeft w:val="0"/>
          <w:marRight w:val="0"/>
          <w:marTop w:val="0"/>
          <w:marBottom w:val="0"/>
          <w:divBdr>
            <w:top w:val="none" w:sz="0" w:space="0" w:color="auto"/>
            <w:left w:val="none" w:sz="0" w:space="0" w:color="auto"/>
            <w:bottom w:val="none" w:sz="0" w:space="0" w:color="auto"/>
            <w:right w:val="none" w:sz="0" w:space="0" w:color="auto"/>
          </w:divBdr>
        </w:div>
        <w:div w:id="1431586055">
          <w:marLeft w:val="0"/>
          <w:marRight w:val="0"/>
          <w:marTop w:val="0"/>
          <w:marBottom w:val="0"/>
          <w:divBdr>
            <w:top w:val="none" w:sz="0" w:space="0" w:color="auto"/>
            <w:left w:val="none" w:sz="0" w:space="0" w:color="auto"/>
            <w:bottom w:val="none" w:sz="0" w:space="0" w:color="auto"/>
            <w:right w:val="none" w:sz="0" w:space="0" w:color="auto"/>
          </w:divBdr>
        </w:div>
        <w:div w:id="923881037">
          <w:marLeft w:val="0"/>
          <w:marRight w:val="0"/>
          <w:marTop w:val="0"/>
          <w:marBottom w:val="0"/>
          <w:divBdr>
            <w:top w:val="none" w:sz="0" w:space="0" w:color="auto"/>
            <w:left w:val="none" w:sz="0" w:space="0" w:color="auto"/>
            <w:bottom w:val="none" w:sz="0" w:space="0" w:color="auto"/>
            <w:right w:val="none" w:sz="0" w:space="0" w:color="auto"/>
          </w:divBdr>
        </w:div>
        <w:div w:id="234441243">
          <w:marLeft w:val="0"/>
          <w:marRight w:val="0"/>
          <w:marTop w:val="0"/>
          <w:marBottom w:val="0"/>
          <w:divBdr>
            <w:top w:val="none" w:sz="0" w:space="0" w:color="auto"/>
            <w:left w:val="none" w:sz="0" w:space="0" w:color="auto"/>
            <w:bottom w:val="none" w:sz="0" w:space="0" w:color="auto"/>
            <w:right w:val="none" w:sz="0" w:space="0" w:color="auto"/>
          </w:divBdr>
        </w:div>
        <w:div w:id="63723456">
          <w:marLeft w:val="0"/>
          <w:marRight w:val="0"/>
          <w:marTop w:val="0"/>
          <w:marBottom w:val="0"/>
          <w:divBdr>
            <w:top w:val="none" w:sz="0" w:space="0" w:color="auto"/>
            <w:left w:val="none" w:sz="0" w:space="0" w:color="auto"/>
            <w:bottom w:val="none" w:sz="0" w:space="0" w:color="auto"/>
            <w:right w:val="none" w:sz="0" w:space="0" w:color="auto"/>
          </w:divBdr>
        </w:div>
        <w:div w:id="7683313">
          <w:marLeft w:val="0"/>
          <w:marRight w:val="0"/>
          <w:marTop w:val="0"/>
          <w:marBottom w:val="0"/>
          <w:divBdr>
            <w:top w:val="none" w:sz="0" w:space="0" w:color="auto"/>
            <w:left w:val="none" w:sz="0" w:space="0" w:color="auto"/>
            <w:bottom w:val="none" w:sz="0" w:space="0" w:color="auto"/>
            <w:right w:val="none" w:sz="0" w:space="0" w:color="auto"/>
          </w:divBdr>
        </w:div>
        <w:div w:id="292294884">
          <w:marLeft w:val="0"/>
          <w:marRight w:val="0"/>
          <w:marTop w:val="0"/>
          <w:marBottom w:val="0"/>
          <w:divBdr>
            <w:top w:val="none" w:sz="0" w:space="0" w:color="auto"/>
            <w:left w:val="none" w:sz="0" w:space="0" w:color="auto"/>
            <w:bottom w:val="none" w:sz="0" w:space="0" w:color="auto"/>
            <w:right w:val="none" w:sz="0" w:space="0" w:color="auto"/>
          </w:divBdr>
        </w:div>
        <w:div w:id="231278907">
          <w:marLeft w:val="0"/>
          <w:marRight w:val="0"/>
          <w:marTop w:val="0"/>
          <w:marBottom w:val="0"/>
          <w:divBdr>
            <w:top w:val="none" w:sz="0" w:space="0" w:color="auto"/>
            <w:left w:val="none" w:sz="0" w:space="0" w:color="auto"/>
            <w:bottom w:val="none" w:sz="0" w:space="0" w:color="auto"/>
            <w:right w:val="none" w:sz="0" w:space="0" w:color="auto"/>
          </w:divBdr>
        </w:div>
      </w:divsChild>
    </w:div>
    <w:div w:id="942231151">
      <w:bodyDiv w:val="1"/>
      <w:marLeft w:val="0"/>
      <w:marRight w:val="0"/>
      <w:marTop w:val="0"/>
      <w:marBottom w:val="0"/>
      <w:divBdr>
        <w:top w:val="none" w:sz="0" w:space="0" w:color="auto"/>
        <w:left w:val="none" w:sz="0" w:space="0" w:color="auto"/>
        <w:bottom w:val="none" w:sz="0" w:space="0" w:color="auto"/>
        <w:right w:val="none" w:sz="0" w:space="0" w:color="auto"/>
      </w:divBdr>
      <w:divsChild>
        <w:div w:id="1312978611">
          <w:marLeft w:val="0"/>
          <w:marRight w:val="0"/>
          <w:marTop w:val="0"/>
          <w:marBottom w:val="0"/>
          <w:divBdr>
            <w:top w:val="none" w:sz="0" w:space="0" w:color="auto"/>
            <w:left w:val="none" w:sz="0" w:space="0" w:color="auto"/>
            <w:bottom w:val="none" w:sz="0" w:space="0" w:color="auto"/>
            <w:right w:val="none" w:sz="0" w:space="0" w:color="auto"/>
          </w:divBdr>
        </w:div>
        <w:div w:id="1471947012">
          <w:marLeft w:val="0"/>
          <w:marRight w:val="0"/>
          <w:marTop w:val="0"/>
          <w:marBottom w:val="0"/>
          <w:divBdr>
            <w:top w:val="none" w:sz="0" w:space="0" w:color="auto"/>
            <w:left w:val="none" w:sz="0" w:space="0" w:color="auto"/>
            <w:bottom w:val="none" w:sz="0" w:space="0" w:color="auto"/>
            <w:right w:val="none" w:sz="0" w:space="0" w:color="auto"/>
          </w:divBdr>
        </w:div>
      </w:divsChild>
    </w:div>
    <w:div w:id="1065176262">
      <w:bodyDiv w:val="1"/>
      <w:marLeft w:val="0"/>
      <w:marRight w:val="0"/>
      <w:marTop w:val="0"/>
      <w:marBottom w:val="0"/>
      <w:divBdr>
        <w:top w:val="none" w:sz="0" w:space="0" w:color="auto"/>
        <w:left w:val="none" w:sz="0" w:space="0" w:color="auto"/>
        <w:bottom w:val="none" w:sz="0" w:space="0" w:color="auto"/>
        <w:right w:val="none" w:sz="0" w:space="0" w:color="auto"/>
      </w:divBdr>
      <w:divsChild>
        <w:div w:id="893346272">
          <w:marLeft w:val="0"/>
          <w:marRight w:val="0"/>
          <w:marTop w:val="0"/>
          <w:marBottom w:val="0"/>
          <w:divBdr>
            <w:top w:val="none" w:sz="0" w:space="0" w:color="auto"/>
            <w:left w:val="none" w:sz="0" w:space="0" w:color="auto"/>
            <w:bottom w:val="none" w:sz="0" w:space="0" w:color="auto"/>
            <w:right w:val="none" w:sz="0" w:space="0" w:color="auto"/>
          </w:divBdr>
        </w:div>
        <w:div w:id="2106607666">
          <w:marLeft w:val="0"/>
          <w:marRight w:val="0"/>
          <w:marTop w:val="0"/>
          <w:marBottom w:val="0"/>
          <w:divBdr>
            <w:top w:val="none" w:sz="0" w:space="0" w:color="auto"/>
            <w:left w:val="none" w:sz="0" w:space="0" w:color="auto"/>
            <w:bottom w:val="none" w:sz="0" w:space="0" w:color="auto"/>
            <w:right w:val="none" w:sz="0" w:space="0" w:color="auto"/>
          </w:divBdr>
        </w:div>
      </w:divsChild>
    </w:div>
    <w:div w:id="1090927805">
      <w:bodyDiv w:val="1"/>
      <w:marLeft w:val="0"/>
      <w:marRight w:val="0"/>
      <w:marTop w:val="0"/>
      <w:marBottom w:val="0"/>
      <w:divBdr>
        <w:top w:val="none" w:sz="0" w:space="0" w:color="auto"/>
        <w:left w:val="none" w:sz="0" w:space="0" w:color="auto"/>
        <w:bottom w:val="none" w:sz="0" w:space="0" w:color="auto"/>
        <w:right w:val="none" w:sz="0" w:space="0" w:color="auto"/>
      </w:divBdr>
      <w:divsChild>
        <w:div w:id="1977447533">
          <w:marLeft w:val="0"/>
          <w:marRight w:val="0"/>
          <w:marTop w:val="0"/>
          <w:marBottom w:val="0"/>
          <w:divBdr>
            <w:top w:val="none" w:sz="0" w:space="0" w:color="auto"/>
            <w:left w:val="none" w:sz="0" w:space="0" w:color="auto"/>
            <w:bottom w:val="none" w:sz="0" w:space="0" w:color="auto"/>
            <w:right w:val="none" w:sz="0" w:space="0" w:color="auto"/>
          </w:divBdr>
        </w:div>
        <w:div w:id="415325436">
          <w:marLeft w:val="0"/>
          <w:marRight w:val="0"/>
          <w:marTop w:val="0"/>
          <w:marBottom w:val="0"/>
          <w:divBdr>
            <w:top w:val="none" w:sz="0" w:space="0" w:color="auto"/>
            <w:left w:val="none" w:sz="0" w:space="0" w:color="auto"/>
            <w:bottom w:val="none" w:sz="0" w:space="0" w:color="auto"/>
            <w:right w:val="none" w:sz="0" w:space="0" w:color="auto"/>
          </w:divBdr>
        </w:div>
      </w:divsChild>
    </w:div>
    <w:div w:id="1105424034">
      <w:bodyDiv w:val="1"/>
      <w:marLeft w:val="0"/>
      <w:marRight w:val="0"/>
      <w:marTop w:val="0"/>
      <w:marBottom w:val="0"/>
      <w:divBdr>
        <w:top w:val="none" w:sz="0" w:space="0" w:color="auto"/>
        <w:left w:val="none" w:sz="0" w:space="0" w:color="auto"/>
        <w:bottom w:val="none" w:sz="0" w:space="0" w:color="auto"/>
        <w:right w:val="none" w:sz="0" w:space="0" w:color="auto"/>
      </w:divBdr>
      <w:divsChild>
        <w:div w:id="2142191084">
          <w:marLeft w:val="0"/>
          <w:marRight w:val="0"/>
          <w:marTop w:val="0"/>
          <w:marBottom w:val="0"/>
          <w:divBdr>
            <w:top w:val="none" w:sz="0" w:space="0" w:color="auto"/>
            <w:left w:val="none" w:sz="0" w:space="0" w:color="auto"/>
            <w:bottom w:val="none" w:sz="0" w:space="0" w:color="auto"/>
            <w:right w:val="none" w:sz="0" w:space="0" w:color="auto"/>
          </w:divBdr>
        </w:div>
        <w:div w:id="688609011">
          <w:marLeft w:val="0"/>
          <w:marRight w:val="0"/>
          <w:marTop w:val="0"/>
          <w:marBottom w:val="0"/>
          <w:divBdr>
            <w:top w:val="none" w:sz="0" w:space="0" w:color="auto"/>
            <w:left w:val="none" w:sz="0" w:space="0" w:color="auto"/>
            <w:bottom w:val="none" w:sz="0" w:space="0" w:color="auto"/>
            <w:right w:val="none" w:sz="0" w:space="0" w:color="auto"/>
          </w:divBdr>
        </w:div>
        <w:div w:id="1138184122">
          <w:marLeft w:val="0"/>
          <w:marRight w:val="0"/>
          <w:marTop w:val="0"/>
          <w:marBottom w:val="0"/>
          <w:divBdr>
            <w:top w:val="none" w:sz="0" w:space="0" w:color="auto"/>
            <w:left w:val="none" w:sz="0" w:space="0" w:color="auto"/>
            <w:bottom w:val="none" w:sz="0" w:space="0" w:color="auto"/>
            <w:right w:val="none" w:sz="0" w:space="0" w:color="auto"/>
          </w:divBdr>
        </w:div>
        <w:div w:id="808592883">
          <w:marLeft w:val="0"/>
          <w:marRight w:val="0"/>
          <w:marTop w:val="0"/>
          <w:marBottom w:val="0"/>
          <w:divBdr>
            <w:top w:val="none" w:sz="0" w:space="0" w:color="auto"/>
            <w:left w:val="none" w:sz="0" w:space="0" w:color="auto"/>
            <w:bottom w:val="none" w:sz="0" w:space="0" w:color="auto"/>
            <w:right w:val="none" w:sz="0" w:space="0" w:color="auto"/>
          </w:divBdr>
        </w:div>
        <w:div w:id="1913848988">
          <w:marLeft w:val="0"/>
          <w:marRight w:val="0"/>
          <w:marTop w:val="0"/>
          <w:marBottom w:val="0"/>
          <w:divBdr>
            <w:top w:val="none" w:sz="0" w:space="0" w:color="auto"/>
            <w:left w:val="none" w:sz="0" w:space="0" w:color="auto"/>
            <w:bottom w:val="none" w:sz="0" w:space="0" w:color="auto"/>
            <w:right w:val="none" w:sz="0" w:space="0" w:color="auto"/>
          </w:divBdr>
        </w:div>
        <w:div w:id="1380546216">
          <w:marLeft w:val="0"/>
          <w:marRight w:val="0"/>
          <w:marTop w:val="0"/>
          <w:marBottom w:val="0"/>
          <w:divBdr>
            <w:top w:val="none" w:sz="0" w:space="0" w:color="auto"/>
            <w:left w:val="none" w:sz="0" w:space="0" w:color="auto"/>
            <w:bottom w:val="none" w:sz="0" w:space="0" w:color="auto"/>
            <w:right w:val="none" w:sz="0" w:space="0" w:color="auto"/>
          </w:divBdr>
        </w:div>
      </w:divsChild>
    </w:div>
    <w:div w:id="1120301264">
      <w:bodyDiv w:val="1"/>
      <w:marLeft w:val="0"/>
      <w:marRight w:val="0"/>
      <w:marTop w:val="0"/>
      <w:marBottom w:val="0"/>
      <w:divBdr>
        <w:top w:val="none" w:sz="0" w:space="0" w:color="auto"/>
        <w:left w:val="none" w:sz="0" w:space="0" w:color="auto"/>
        <w:bottom w:val="none" w:sz="0" w:space="0" w:color="auto"/>
        <w:right w:val="none" w:sz="0" w:space="0" w:color="auto"/>
      </w:divBdr>
      <w:divsChild>
        <w:div w:id="99565279">
          <w:marLeft w:val="0"/>
          <w:marRight w:val="0"/>
          <w:marTop w:val="0"/>
          <w:marBottom w:val="0"/>
          <w:divBdr>
            <w:top w:val="none" w:sz="0" w:space="0" w:color="auto"/>
            <w:left w:val="none" w:sz="0" w:space="0" w:color="auto"/>
            <w:bottom w:val="none" w:sz="0" w:space="0" w:color="auto"/>
            <w:right w:val="none" w:sz="0" w:space="0" w:color="auto"/>
          </w:divBdr>
        </w:div>
        <w:div w:id="35783552">
          <w:marLeft w:val="0"/>
          <w:marRight w:val="0"/>
          <w:marTop w:val="0"/>
          <w:marBottom w:val="0"/>
          <w:divBdr>
            <w:top w:val="none" w:sz="0" w:space="0" w:color="auto"/>
            <w:left w:val="none" w:sz="0" w:space="0" w:color="auto"/>
            <w:bottom w:val="none" w:sz="0" w:space="0" w:color="auto"/>
            <w:right w:val="none" w:sz="0" w:space="0" w:color="auto"/>
          </w:divBdr>
        </w:div>
      </w:divsChild>
    </w:div>
    <w:div w:id="1289162583">
      <w:bodyDiv w:val="1"/>
      <w:marLeft w:val="0"/>
      <w:marRight w:val="0"/>
      <w:marTop w:val="0"/>
      <w:marBottom w:val="0"/>
      <w:divBdr>
        <w:top w:val="none" w:sz="0" w:space="0" w:color="auto"/>
        <w:left w:val="none" w:sz="0" w:space="0" w:color="auto"/>
        <w:bottom w:val="none" w:sz="0" w:space="0" w:color="auto"/>
        <w:right w:val="none" w:sz="0" w:space="0" w:color="auto"/>
      </w:divBdr>
      <w:divsChild>
        <w:div w:id="215943918">
          <w:marLeft w:val="0"/>
          <w:marRight w:val="0"/>
          <w:marTop w:val="0"/>
          <w:marBottom w:val="0"/>
          <w:divBdr>
            <w:top w:val="none" w:sz="0" w:space="0" w:color="auto"/>
            <w:left w:val="none" w:sz="0" w:space="0" w:color="auto"/>
            <w:bottom w:val="none" w:sz="0" w:space="0" w:color="auto"/>
            <w:right w:val="none" w:sz="0" w:space="0" w:color="auto"/>
          </w:divBdr>
        </w:div>
        <w:div w:id="1149396254">
          <w:marLeft w:val="0"/>
          <w:marRight w:val="0"/>
          <w:marTop w:val="0"/>
          <w:marBottom w:val="0"/>
          <w:divBdr>
            <w:top w:val="none" w:sz="0" w:space="0" w:color="auto"/>
            <w:left w:val="none" w:sz="0" w:space="0" w:color="auto"/>
            <w:bottom w:val="none" w:sz="0" w:space="0" w:color="auto"/>
            <w:right w:val="none" w:sz="0" w:space="0" w:color="auto"/>
          </w:divBdr>
        </w:div>
      </w:divsChild>
    </w:div>
    <w:div w:id="1310405656">
      <w:bodyDiv w:val="1"/>
      <w:marLeft w:val="0"/>
      <w:marRight w:val="0"/>
      <w:marTop w:val="0"/>
      <w:marBottom w:val="0"/>
      <w:divBdr>
        <w:top w:val="none" w:sz="0" w:space="0" w:color="auto"/>
        <w:left w:val="none" w:sz="0" w:space="0" w:color="auto"/>
        <w:bottom w:val="none" w:sz="0" w:space="0" w:color="auto"/>
        <w:right w:val="none" w:sz="0" w:space="0" w:color="auto"/>
      </w:divBdr>
      <w:divsChild>
        <w:div w:id="2036614160">
          <w:marLeft w:val="0"/>
          <w:marRight w:val="0"/>
          <w:marTop w:val="0"/>
          <w:marBottom w:val="0"/>
          <w:divBdr>
            <w:top w:val="none" w:sz="0" w:space="0" w:color="auto"/>
            <w:left w:val="none" w:sz="0" w:space="0" w:color="auto"/>
            <w:bottom w:val="none" w:sz="0" w:space="0" w:color="auto"/>
            <w:right w:val="none" w:sz="0" w:space="0" w:color="auto"/>
          </w:divBdr>
        </w:div>
        <w:div w:id="629093742">
          <w:marLeft w:val="0"/>
          <w:marRight w:val="0"/>
          <w:marTop w:val="0"/>
          <w:marBottom w:val="0"/>
          <w:divBdr>
            <w:top w:val="none" w:sz="0" w:space="0" w:color="auto"/>
            <w:left w:val="none" w:sz="0" w:space="0" w:color="auto"/>
            <w:bottom w:val="none" w:sz="0" w:space="0" w:color="auto"/>
            <w:right w:val="none" w:sz="0" w:space="0" w:color="auto"/>
          </w:divBdr>
        </w:div>
        <w:div w:id="1272471904">
          <w:marLeft w:val="0"/>
          <w:marRight w:val="0"/>
          <w:marTop w:val="0"/>
          <w:marBottom w:val="0"/>
          <w:divBdr>
            <w:top w:val="none" w:sz="0" w:space="0" w:color="auto"/>
            <w:left w:val="none" w:sz="0" w:space="0" w:color="auto"/>
            <w:bottom w:val="none" w:sz="0" w:space="0" w:color="auto"/>
            <w:right w:val="none" w:sz="0" w:space="0" w:color="auto"/>
          </w:divBdr>
        </w:div>
      </w:divsChild>
    </w:div>
    <w:div w:id="1363939388">
      <w:bodyDiv w:val="1"/>
      <w:marLeft w:val="0"/>
      <w:marRight w:val="0"/>
      <w:marTop w:val="0"/>
      <w:marBottom w:val="0"/>
      <w:divBdr>
        <w:top w:val="none" w:sz="0" w:space="0" w:color="auto"/>
        <w:left w:val="none" w:sz="0" w:space="0" w:color="auto"/>
        <w:bottom w:val="none" w:sz="0" w:space="0" w:color="auto"/>
        <w:right w:val="none" w:sz="0" w:space="0" w:color="auto"/>
      </w:divBdr>
      <w:divsChild>
        <w:div w:id="448740559">
          <w:marLeft w:val="0"/>
          <w:marRight w:val="0"/>
          <w:marTop w:val="0"/>
          <w:marBottom w:val="0"/>
          <w:divBdr>
            <w:top w:val="none" w:sz="0" w:space="0" w:color="auto"/>
            <w:left w:val="none" w:sz="0" w:space="0" w:color="auto"/>
            <w:bottom w:val="none" w:sz="0" w:space="0" w:color="auto"/>
            <w:right w:val="none" w:sz="0" w:space="0" w:color="auto"/>
          </w:divBdr>
        </w:div>
        <w:div w:id="2059165429">
          <w:marLeft w:val="0"/>
          <w:marRight w:val="0"/>
          <w:marTop w:val="0"/>
          <w:marBottom w:val="0"/>
          <w:divBdr>
            <w:top w:val="none" w:sz="0" w:space="0" w:color="auto"/>
            <w:left w:val="none" w:sz="0" w:space="0" w:color="auto"/>
            <w:bottom w:val="none" w:sz="0" w:space="0" w:color="auto"/>
            <w:right w:val="none" w:sz="0" w:space="0" w:color="auto"/>
          </w:divBdr>
        </w:div>
        <w:div w:id="262764314">
          <w:marLeft w:val="0"/>
          <w:marRight w:val="0"/>
          <w:marTop w:val="0"/>
          <w:marBottom w:val="0"/>
          <w:divBdr>
            <w:top w:val="none" w:sz="0" w:space="0" w:color="auto"/>
            <w:left w:val="none" w:sz="0" w:space="0" w:color="auto"/>
            <w:bottom w:val="none" w:sz="0" w:space="0" w:color="auto"/>
            <w:right w:val="none" w:sz="0" w:space="0" w:color="auto"/>
          </w:divBdr>
        </w:div>
        <w:div w:id="1126118193">
          <w:marLeft w:val="0"/>
          <w:marRight w:val="0"/>
          <w:marTop w:val="0"/>
          <w:marBottom w:val="0"/>
          <w:divBdr>
            <w:top w:val="none" w:sz="0" w:space="0" w:color="auto"/>
            <w:left w:val="none" w:sz="0" w:space="0" w:color="auto"/>
            <w:bottom w:val="none" w:sz="0" w:space="0" w:color="auto"/>
            <w:right w:val="none" w:sz="0" w:space="0" w:color="auto"/>
          </w:divBdr>
        </w:div>
        <w:div w:id="1861509613">
          <w:marLeft w:val="0"/>
          <w:marRight w:val="0"/>
          <w:marTop w:val="0"/>
          <w:marBottom w:val="0"/>
          <w:divBdr>
            <w:top w:val="none" w:sz="0" w:space="0" w:color="auto"/>
            <w:left w:val="none" w:sz="0" w:space="0" w:color="auto"/>
            <w:bottom w:val="none" w:sz="0" w:space="0" w:color="auto"/>
            <w:right w:val="none" w:sz="0" w:space="0" w:color="auto"/>
          </w:divBdr>
        </w:div>
        <w:div w:id="1465391196">
          <w:marLeft w:val="0"/>
          <w:marRight w:val="0"/>
          <w:marTop w:val="0"/>
          <w:marBottom w:val="0"/>
          <w:divBdr>
            <w:top w:val="none" w:sz="0" w:space="0" w:color="auto"/>
            <w:left w:val="none" w:sz="0" w:space="0" w:color="auto"/>
            <w:bottom w:val="none" w:sz="0" w:space="0" w:color="auto"/>
            <w:right w:val="none" w:sz="0" w:space="0" w:color="auto"/>
          </w:divBdr>
        </w:div>
        <w:div w:id="202444716">
          <w:marLeft w:val="0"/>
          <w:marRight w:val="0"/>
          <w:marTop w:val="0"/>
          <w:marBottom w:val="0"/>
          <w:divBdr>
            <w:top w:val="none" w:sz="0" w:space="0" w:color="auto"/>
            <w:left w:val="none" w:sz="0" w:space="0" w:color="auto"/>
            <w:bottom w:val="none" w:sz="0" w:space="0" w:color="auto"/>
            <w:right w:val="none" w:sz="0" w:space="0" w:color="auto"/>
          </w:divBdr>
        </w:div>
        <w:div w:id="924874339">
          <w:marLeft w:val="0"/>
          <w:marRight w:val="0"/>
          <w:marTop w:val="0"/>
          <w:marBottom w:val="0"/>
          <w:divBdr>
            <w:top w:val="none" w:sz="0" w:space="0" w:color="auto"/>
            <w:left w:val="none" w:sz="0" w:space="0" w:color="auto"/>
            <w:bottom w:val="none" w:sz="0" w:space="0" w:color="auto"/>
            <w:right w:val="none" w:sz="0" w:space="0" w:color="auto"/>
          </w:divBdr>
        </w:div>
        <w:div w:id="1615090053">
          <w:marLeft w:val="0"/>
          <w:marRight w:val="0"/>
          <w:marTop w:val="0"/>
          <w:marBottom w:val="0"/>
          <w:divBdr>
            <w:top w:val="none" w:sz="0" w:space="0" w:color="auto"/>
            <w:left w:val="none" w:sz="0" w:space="0" w:color="auto"/>
            <w:bottom w:val="none" w:sz="0" w:space="0" w:color="auto"/>
            <w:right w:val="none" w:sz="0" w:space="0" w:color="auto"/>
          </w:divBdr>
        </w:div>
        <w:div w:id="107824068">
          <w:marLeft w:val="0"/>
          <w:marRight w:val="0"/>
          <w:marTop w:val="0"/>
          <w:marBottom w:val="0"/>
          <w:divBdr>
            <w:top w:val="none" w:sz="0" w:space="0" w:color="auto"/>
            <w:left w:val="none" w:sz="0" w:space="0" w:color="auto"/>
            <w:bottom w:val="none" w:sz="0" w:space="0" w:color="auto"/>
            <w:right w:val="none" w:sz="0" w:space="0" w:color="auto"/>
          </w:divBdr>
        </w:div>
      </w:divsChild>
    </w:div>
    <w:div w:id="1388407976">
      <w:bodyDiv w:val="1"/>
      <w:marLeft w:val="0"/>
      <w:marRight w:val="0"/>
      <w:marTop w:val="0"/>
      <w:marBottom w:val="0"/>
      <w:divBdr>
        <w:top w:val="none" w:sz="0" w:space="0" w:color="auto"/>
        <w:left w:val="none" w:sz="0" w:space="0" w:color="auto"/>
        <w:bottom w:val="none" w:sz="0" w:space="0" w:color="auto"/>
        <w:right w:val="none" w:sz="0" w:space="0" w:color="auto"/>
      </w:divBdr>
      <w:divsChild>
        <w:div w:id="20983612">
          <w:marLeft w:val="0"/>
          <w:marRight w:val="0"/>
          <w:marTop w:val="0"/>
          <w:marBottom w:val="0"/>
          <w:divBdr>
            <w:top w:val="none" w:sz="0" w:space="0" w:color="auto"/>
            <w:left w:val="none" w:sz="0" w:space="0" w:color="auto"/>
            <w:bottom w:val="none" w:sz="0" w:space="0" w:color="auto"/>
            <w:right w:val="none" w:sz="0" w:space="0" w:color="auto"/>
          </w:divBdr>
        </w:div>
        <w:div w:id="510486554">
          <w:marLeft w:val="0"/>
          <w:marRight w:val="0"/>
          <w:marTop w:val="0"/>
          <w:marBottom w:val="0"/>
          <w:divBdr>
            <w:top w:val="none" w:sz="0" w:space="0" w:color="auto"/>
            <w:left w:val="none" w:sz="0" w:space="0" w:color="auto"/>
            <w:bottom w:val="none" w:sz="0" w:space="0" w:color="auto"/>
            <w:right w:val="none" w:sz="0" w:space="0" w:color="auto"/>
          </w:divBdr>
        </w:div>
      </w:divsChild>
    </w:div>
    <w:div w:id="1495299155">
      <w:bodyDiv w:val="1"/>
      <w:marLeft w:val="0"/>
      <w:marRight w:val="0"/>
      <w:marTop w:val="0"/>
      <w:marBottom w:val="0"/>
      <w:divBdr>
        <w:top w:val="none" w:sz="0" w:space="0" w:color="auto"/>
        <w:left w:val="none" w:sz="0" w:space="0" w:color="auto"/>
        <w:bottom w:val="none" w:sz="0" w:space="0" w:color="auto"/>
        <w:right w:val="none" w:sz="0" w:space="0" w:color="auto"/>
      </w:divBdr>
      <w:divsChild>
        <w:div w:id="1370305118">
          <w:marLeft w:val="0"/>
          <w:marRight w:val="0"/>
          <w:marTop w:val="0"/>
          <w:marBottom w:val="0"/>
          <w:divBdr>
            <w:top w:val="none" w:sz="0" w:space="0" w:color="auto"/>
            <w:left w:val="none" w:sz="0" w:space="0" w:color="auto"/>
            <w:bottom w:val="none" w:sz="0" w:space="0" w:color="auto"/>
            <w:right w:val="none" w:sz="0" w:space="0" w:color="auto"/>
          </w:divBdr>
        </w:div>
        <w:div w:id="1293711290">
          <w:marLeft w:val="0"/>
          <w:marRight w:val="0"/>
          <w:marTop w:val="0"/>
          <w:marBottom w:val="0"/>
          <w:divBdr>
            <w:top w:val="none" w:sz="0" w:space="0" w:color="auto"/>
            <w:left w:val="none" w:sz="0" w:space="0" w:color="auto"/>
            <w:bottom w:val="none" w:sz="0" w:space="0" w:color="auto"/>
            <w:right w:val="none" w:sz="0" w:space="0" w:color="auto"/>
          </w:divBdr>
        </w:div>
      </w:divsChild>
    </w:div>
    <w:div w:id="1495609531">
      <w:bodyDiv w:val="1"/>
      <w:marLeft w:val="0"/>
      <w:marRight w:val="0"/>
      <w:marTop w:val="0"/>
      <w:marBottom w:val="0"/>
      <w:divBdr>
        <w:top w:val="none" w:sz="0" w:space="0" w:color="auto"/>
        <w:left w:val="none" w:sz="0" w:space="0" w:color="auto"/>
        <w:bottom w:val="none" w:sz="0" w:space="0" w:color="auto"/>
        <w:right w:val="none" w:sz="0" w:space="0" w:color="auto"/>
      </w:divBdr>
      <w:divsChild>
        <w:div w:id="1658263847">
          <w:marLeft w:val="0"/>
          <w:marRight w:val="0"/>
          <w:marTop w:val="0"/>
          <w:marBottom w:val="0"/>
          <w:divBdr>
            <w:top w:val="none" w:sz="0" w:space="0" w:color="auto"/>
            <w:left w:val="none" w:sz="0" w:space="0" w:color="auto"/>
            <w:bottom w:val="none" w:sz="0" w:space="0" w:color="auto"/>
            <w:right w:val="none" w:sz="0" w:space="0" w:color="auto"/>
          </w:divBdr>
        </w:div>
        <w:div w:id="186066984">
          <w:marLeft w:val="0"/>
          <w:marRight w:val="0"/>
          <w:marTop w:val="0"/>
          <w:marBottom w:val="0"/>
          <w:divBdr>
            <w:top w:val="none" w:sz="0" w:space="0" w:color="auto"/>
            <w:left w:val="none" w:sz="0" w:space="0" w:color="auto"/>
            <w:bottom w:val="none" w:sz="0" w:space="0" w:color="auto"/>
            <w:right w:val="none" w:sz="0" w:space="0" w:color="auto"/>
          </w:divBdr>
        </w:div>
        <w:div w:id="568424010">
          <w:marLeft w:val="0"/>
          <w:marRight w:val="0"/>
          <w:marTop w:val="0"/>
          <w:marBottom w:val="0"/>
          <w:divBdr>
            <w:top w:val="none" w:sz="0" w:space="0" w:color="auto"/>
            <w:left w:val="none" w:sz="0" w:space="0" w:color="auto"/>
            <w:bottom w:val="none" w:sz="0" w:space="0" w:color="auto"/>
            <w:right w:val="none" w:sz="0" w:space="0" w:color="auto"/>
          </w:divBdr>
        </w:div>
        <w:div w:id="721054546">
          <w:marLeft w:val="0"/>
          <w:marRight w:val="0"/>
          <w:marTop w:val="0"/>
          <w:marBottom w:val="0"/>
          <w:divBdr>
            <w:top w:val="none" w:sz="0" w:space="0" w:color="auto"/>
            <w:left w:val="none" w:sz="0" w:space="0" w:color="auto"/>
            <w:bottom w:val="none" w:sz="0" w:space="0" w:color="auto"/>
            <w:right w:val="none" w:sz="0" w:space="0" w:color="auto"/>
          </w:divBdr>
        </w:div>
        <w:div w:id="1294215881">
          <w:marLeft w:val="0"/>
          <w:marRight w:val="0"/>
          <w:marTop w:val="0"/>
          <w:marBottom w:val="0"/>
          <w:divBdr>
            <w:top w:val="none" w:sz="0" w:space="0" w:color="auto"/>
            <w:left w:val="none" w:sz="0" w:space="0" w:color="auto"/>
            <w:bottom w:val="none" w:sz="0" w:space="0" w:color="auto"/>
            <w:right w:val="none" w:sz="0" w:space="0" w:color="auto"/>
          </w:divBdr>
        </w:div>
        <w:div w:id="1862010969">
          <w:marLeft w:val="0"/>
          <w:marRight w:val="0"/>
          <w:marTop w:val="0"/>
          <w:marBottom w:val="0"/>
          <w:divBdr>
            <w:top w:val="none" w:sz="0" w:space="0" w:color="auto"/>
            <w:left w:val="none" w:sz="0" w:space="0" w:color="auto"/>
            <w:bottom w:val="none" w:sz="0" w:space="0" w:color="auto"/>
            <w:right w:val="none" w:sz="0" w:space="0" w:color="auto"/>
          </w:divBdr>
        </w:div>
      </w:divsChild>
    </w:div>
    <w:div w:id="1546286142">
      <w:bodyDiv w:val="1"/>
      <w:marLeft w:val="0"/>
      <w:marRight w:val="0"/>
      <w:marTop w:val="0"/>
      <w:marBottom w:val="0"/>
      <w:divBdr>
        <w:top w:val="none" w:sz="0" w:space="0" w:color="auto"/>
        <w:left w:val="none" w:sz="0" w:space="0" w:color="auto"/>
        <w:bottom w:val="none" w:sz="0" w:space="0" w:color="auto"/>
        <w:right w:val="none" w:sz="0" w:space="0" w:color="auto"/>
      </w:divBdr>
      <w:divsChild>
        <w:div w:id="57829461">
          <w:marLeft w:val="0"/>
          <w:marRight w:val="0"/>
          <w:marTop w:val="0"/>
          <w:marBottom w:val="0"/>
          <w:divBdr>
            <w:top w:val="none" w:sz="0" w:space="0" w:color="auto"/>
            <w:left w:val="none" w:sz="0" w:space="0" w:color="auto"/>
            <w:bottom w:val="none" w:sz="0" w:space="0" w:color="auto"/>
            <w:right w:val="none" w:sz="0" w:space="0" w:color="auto"/>
          </w:divBdr>
        </w:div>
        <w:div w:id="729158129">
          <w:marLeft w:val="0"/>
          <w:marRight w:val="0"/>
          <w:marTop w:val="0"/>
          <w:marBottom w:val="0"/>
          <w:divBdr>
            <w:top w:val="none" w:sz="0" w:space="0" w:color="auto"/>
            <w:left w:val="none" w:sz="0" w:space="0" w:color="auto"/>
            <w:bottom w:val="none" w:sz="0" w:space="0" w:color="auto"/>
            <w:right w:val="none" w:sz="0" w:space="0" w:color="auto"/>
          </w:divBdr>
        </w:div>
      </w:divsChild>
    </w:div>
    <w:div w:id="1559239535">
      <w:bodyDiv w:val="1"/>
      <w:marLeft w:val="0"/>
      <w:marRight w:val="0"/>
      <w:marTop w:val="0"/>
      <w:marBottom w:val="0"/>
      <w:divBdr>
        <w:top w:val="none" w:sz="0" w:space="0" w:color="auto"/>
        <w:left w:val="none" w:sz="0" w:space="0" w:color="auto"/>
        <w:bottom w:val="none" w:sz="0" w:space="0" w:color="auto"/>
        <w:right w:val="none" w:sz="0" w:space="0" w:color="auto"/>
      </w:divBdr>
      <w:divsChild>
        <w:div w:id="3751950">
          <w:marLeft w:val="0"/>
          <w:marRight w:val="0"/>
          <w:marTop w:val="0"/>
          <w:marBottom w:val="0"/>
          <w:divBdr>
            <w:top w:val="none" w:sz="0" w:space="0" w:color="auto"/>
            <w:left w:val="none" w:sz="0" w:space="0" w:color="auto"/>
            <w:bottom w:val="none" w:sz="0" w:space="0" w:color="auto"/>
            <w:right w:val="none" w:sz="0" w:space="0" w:color="auto"/>
          </w:divBdr>
        </w:div>
        <w:div w:id="2145075677">
          <w:marLeft w:val="0"/>
          <w:marRight w:val="0"/>
          <w:marTop w:val="0"/>
          <w:marBottom w:val="0"/>
          <w:divBdr>
            <w:top w:val="none" w:sz="0" w:space="0" w:color="auto"/>
            <w:left w:val="none" w:sz="0" w:space="0" w:color="auto"/>
            <w:bottom w:val="none" w:sz="0" w:space="0" w:color="auto"/>
            <w:right w:val="none" w:sz="0" w:space="0" w:color="auto"/>
          </w:divBdr>
        </w:div>
      </w:divsChild>
    </w:div>
    <w:div w:id="1859079507">
      <w:bodyDiv w:val="1"/>
      <w:marLeft w:val="0"/>
      <w:marRight w:val="0"/>
      <w:marTop w:val="0"/>
      <w:marBottom w:val="0"/>
      <w:divBdr>
        <w:top w:val="none" w:sz="0" w:space="0" w:color="auto"/>
        <w:left w:val="none" w:sz="0" w:space="0" w:color="auto"/>
        <w:bottom w:val="none" w:sz="0" w:space="0" w:color="auto"/>
        <w:right w:val="none" w:sz="0" w:space="0" w:color="auto"/>
      </w:divBdr>
      <w:divsChild>
        <w:div w:id="1762531674">
          <w:marLeft w:val="0"/>
          <w:marRight w:val="0"/>
          <w:marTop w:val="0"/>
          <w:marBottom w:val="0"/>
          <w:divBdr>
            <w:top w:val="none" w:sz="0" w:space="0" w:color="auto"/>
            <w:left w:val="none" w:sz="0" w:space="0" w:color="auto"/>
            <w:bottom w:val="none" w:sz="0" w:space="0" w:color="auto"/>
            <w:right w:val="none" w:sz="0" w:space="0" w:color="auto"/>
          </w:divBdr>
        </w:div>
        <w:div w:id="549611030">
          <w:marLeft w:val="0"/>
          <w:marRight w:val="0"/>
          <w:marTop w:val="0"/>
          <w:marBottom w:val="0"/>
          <w:divBdr>
            <w:top w:val="none" w:sz="0" w:space="0" w:color="auto"/>
            <w:left w:val="none" w:sz="0" w:space="0" w:color="auto"/>
            <w:bottom w:val="none" w:sz="0" w:space="0" w:color="auto"/>
            <w:right w:val="none" w:sz="0" w:space="0" w:color="auto"/>
          </w:divBdr>
        </w:div>
      </w:divsChild>
    </w:div>
    <w:div w:id="2094858662">
      <w:bodyDiv w:val="1"/>
      <w:marLeft w:val="0"/>
      <w:marRight w:val="0"/>
      <w:marTop w:val="0"/>
      <w:marBottom w:val="0"/>
      <w:divBdr>
        <w:top w:val="none" w:sz="0" w:space="0" w:color="auto"/>
        <w:left w:val="none" w:sz="0" w:space="0" w:color="auto"/>
        <w:bottom w:val="none" w:sz="0" w:space="0" w:color="auto"/>
        <w:right w:val="none" w:sz="0" w:space="0" w:color="auto"/>
      </w:divBdr>
      <w:divsChild>
        <w:div w:id="760107599">
          <w:marLeft w:val="0"/>
          <w:marRight w:val="0"/>
          <w:marTop w:val="0"/>
          <w:marBottom w:val="0"/>
          <w:divBdr>
            <w:top w:val="none" w:sz="0" w:space="0" w:color="auto"/>
            <w:left w:val="none" w:sz="0" w:space="0" w:color="auto"/>
            <w:bottom w:val="none" w:sz="0" w:space="0" w:color="auto"/>
            <w:right w:val="none" w:sz="0" w:space="0" w:color="auto"/>
          </w:divBdr>
        </w:div>
        <w:div w:id="1378551978">
          <w:marLeft w:val="0"/>
          <w:marRight w:val="0"/>
          <w:marTop w:val="0"/>
          <w:marBottom w:val="0"/>
          <w:divBdr>
            <w:top w:val="none" w:sz="0" w:space="0" w:color="auto"/>
            <w:left w:val="none" w:sz="0" w:space="0" w:color="auto"/>
            <w:bottom w:val="none" w:sz="0" w:space="0" w:color="auto"/>
            <w:right w:val="none" w:sz="0" w:space="0" w:color="auto"/>
          </w:divBdr>
        </w:div>
      </w:divsChild>
    </w:div>
    <w:div w:id="2108038634">
      <w:bodyDiv w:val="1"/>
      <w:marLeft w:val="0"/>
      <w:marRight w:val="0"/>
      <w:marTop w:val="0"/>
      <w:marBottom w:val="0"/>
      <w:divBdr>
        <w:top w:val="none" w:sz="0" w:space="0" w:color="auto"/>
        <w:left w:val="none" w:sz="0" w:space="0" w:color="auto"/>
        <w:bottom w:val="none" w:sz="0" w:space="0" w:color="auto"/>
        <w:right w:val="none" w:sz="0" w:space="0" w:color="auto"/>
      </w:divBdr>
      <w:divsChild>
        <w:div w:id="887642909">
          <w:marLeft w:val="0"/>
          <w:marRight w:val="0"/>
          <w:marTop w:val="0"/>
          <w:marBottom w:val="0"/>
          <w:divBdr>
            <w:top w:val="none" w:sz="0" w:space="0" w:color="auto"/>
            <w:left w:val="none" w:sz="0" w:space="0" w:color="auto"/>
            <w:bottom w:val="none" w:sz="0" w:space="0" w:color="auto"/>
            <w:right w:val="none" w:sz="0" w:space="0" w:color="auto"/>
          </w:divBdr>
        </w:div>
        <w:div w:id="20803270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s://www.cms.gov/Medicare/Medicare-Fee-for-Service-Payment/PhysicianFeedbackProgram/ValueBasedPaymentModifier.htm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gulation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1563</Words>
  <Characters>8910</Characters>
  <Application>Microsoft Macintosh Word</Application>
  <DocSecurity>0</DocSecurity>
  <Lines>74</Lines>
  <Paragraphs>17</Paragraphs>
  <ScaleCrop>false</ScaleCrop>
  <Company>Simon &amp; Company</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Late</dc:creator>
  <cp:keywords/>
  <cp:lastModifiedBy>Simon and  Company</cp:lastModifiedBy>
  <cp:revision>2</cp:revision>
  <cp:lastPrinted>2016-05-16T19:25:00Z</cp:lastPrinted>
  <dcterms:created xsi:type="dcterms:W3CDTF">2016-05-17T19:01:00Z</dcterms:created>
  <dcterms:modified xsi:type="dcterms:W3CDTF">2016-05-17T19:01:00Z</dcterms:modified>
</cp:coreProperties>
</file>